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306"/>
        <w:gridCol w:w="1027"/>
        <w:gridCol w:w="227"/>
        <w:gridCol w:w="748"/>
        <w:gridCol w:w="476"/>
        <w:gridCol w:w="900"/>
        <w:gridCol w:w="1226"/>
        <w:gridCol w:w="2396"/>
      </w:tblGrid>
      <w:tr w:rsidR="004C1FA1" w:rsidRPr="003B36F4">
        <w:tc>
          <w:tcPr>
            <w:tcW w:w="2628" w:type="dxa"/>
            <w:gridSpan w:val="3"/>
          </w:tcPr>
          <w:p w:rsidR="004C1FA1" w:rsidRPr="003B36F4" w:rsidRDefault="00E213C9" w:rsidP="003B36F4">
            <w:pPr>
              <w:spacing w:before="120" w:after="120"/>
              <w:rPr>
                <w:szCs w:val="22"/>
              </w:rPr>
            </w:pPr>
            <w:r>
              <w:rPr>
                <w:szCs w:val="22"/>
              </w:rPr>
              <w:t>Report to</w:t>
            </w:r>
            <w:r w:rsidR="004C1FA1" w:rsidRPr="003B36F4">
              <w:rPr>
                <w:szCs w:val="22"/>
              </w:rPr>
              <w:t>:</w:t>
            </w:r>
          </w:p>
        </w:tc>
        <w:tc>
          <w:tcPr>
            <w:tcW w:w="5894" w:type="dxa"/>
            <w:gridSpan w:val="5"/>
          </w:tcPr>
          <w:p w:rsidR="004C1FA1" w:rsidRPr="00EE46AD" w:rsidRDefault="00105FD7" w:rsidP="003B36F4">
            <w:pPr>
              <w:spacing w:before="120" w:after="120"/>
              <w:rPr>
                <w:b/>
                <w:szCs w:val="22"/>
              </w:rPr>
            </w:pPr>
            <w:r w:rsidRPr="00EE46AD">
              <w:rPr>
                <w:b/>
                <w:szCs w:val="22"/>
              </w:rPr>
              <w:t>Executiv</w:t>
            </w:r>
            <w:r w:rsidR="00C92969" w:rsidRPr="00EE46AD">
              <w:rPr>
                <w:b/>
                <w:szCs w:val="22"/>
              </w:rPr>
              <w:t>e</w:t>
            </w:r>
          </w:p>
        </w:tc>
      </w:tr>
      <w:tr w:rsidR="004C1FA1" w:rsidRPr="003B36F4">
        <w:tc>
          <w:tcPr>
            <w:tcW w:w="2628" w:type="dxa"/>
            <w:gridSpan w:val="3"/>
          </w:tcPr>
          <w:p w:rsidR="004C1FA1" w:rsidRPr="003B36F4" w:rsidRDefault="004C1FA1" w:rsidP="003B36F4">
            <w:pPr>
              <w:spacing w:before="120" w:after="120"/>
              <w:rPr>
                <w:szCs w:val="22"/>
              </w:rPr>
            </w:pPr>
            <w:r w:rsidRPr="003B36F4">
              <w:rPr>
                <w:szCs w:val="22"/>
              </w:rPr>
              <w:t>Date:</w:t>
            </w:r>
          </w:p>
        </w:tc>
        <w:tc>
          <w:tcPr>
            <w:tcW w:w="5894" w:type="dxa"/>
            <w:gridSpan w:val="5"/>
          </w:tcPr>
          <w:p w:rsidR="004C1FA1" w:rsidRPr="00EE46AD" w:rsidRDefault="00C92969" w:rsidP="003B36F4">
            <w:pPr>
              <w:spacing w:before="120" w:after="120"/>
              <w:rPr>
                <w:b/>
                <w:szCs w:val="22"/>
              </w:rPr>
            </w:pPr>
            <w:r w:rsidRPr="00EE46AD">
              <w:rPr>
                <w:b/>
                <w:szCs w:val="22"/>
              </w:rPr>
              <w:t>19</w:t>
            </w:r>
            <w:bookmarkStart w:id="0" w:name="_GoBack"/>
            <w:bookmarkEnd w:id="0"/>
            <w:r w:rsidR="00EE46AD" w:rsidRPr="00EE46AD">
              <w:rPr>
                <w:b/>
                <w:szCs w:val="22"/>
              </w:rPr>
              <w:t xml:space="preserve"> September</w:t>
            </w:r>
            <w:r w:rsidRPr="00EE46AD">
              <w:rPr>
                <w:b/>
                <w:szCs w:val="22"/>
              </w:rPr>
              <w:t xml:space="preserve"> 201</w:t>
            </w:r>
            <w:r w:rsidR="00D13DFE">
              <w:rPr>
                <w:b/>
                <w:szCs w:val="22"/>
              </w:rPr>
              <w:t>9</w:t>
            </w:r>
          </w:p>
        </w:tc>
      </w:tr>
      <w:tr w:rsidR="004C1FA1" w:rsidRPr="003B36F4">
        <w:tc>
          <w:tcPr>
            <w:tcW w:w="2628" w:type="dxa"/>
            <w:gridSpan w:val="3"/>
          </w:tcPr>
          <w:p w:rsidR="004C1FA1" w:rsidRPr="003B36F4" w:rsidRDefault="004C1FA1" w:rsidP="003B36F4">
            <w:pPr>
              <w:spacing w:before="120" w:after="120"/>
              <w:rPr>
                <w:szCs w:val="22"/>
              </w:rPr>
            </w:pPr>
            <w:r w:rsidRPr="003B36F4">
              <w:rPr>
                <w:szCs w:val="22"/>
              </w:rPr>
              <w:t>Title:</w:t>
            </w:r>
          </w:p>
        </w:tc>
        <w:tc>
          <w:tcPr>
            <w:tcW w:w="5894" w:type="dxa"/>
            <w:gridSpan w:val="5"/>
          </w:tcPr>
          <w:p w:rsidR="004C1FA1" w:rsidRPr="003B36F4" w:rsidRDefault="00E9434F" w:rsidP="00925B61">
            <w:pPr>
              <w:spacing w:before="120" w:after="120"/>
              <w:rPr>
                <w:b/>
                <w:szCs w:val="22"/>
              </w:rPr>
            </w:pPr>
            <w:r>
              <w:rPr>
                <w:b/>
                <w:szCs w:val="22"/>
              </w:rPr>
              <w:t>Salcombe</w:t>
            </w:r>
            <w:r w:rsidR="008B75D1">
              <w:rPr>
                <w:b/>
                <w:szCs w:val="22"/>
              </w:rPr>
              <w:t xml:space="preserve"> Neighbourhood Plan</w:t>
            </w:r>
          </w:p>
        </w:tc>
      </w:tr>
      <w:tr w:rsidR="00CE0924" w:rsidRPr="003B36F4">
        <w:tc>
          <w:tcPr>
            <w:tcW w:w="2628" w:type="dxa"/>
            <w:gridSpan w:val="3"/>
          </w:tcPr>
          <w:p w:rsidR="00CE0924" w:rsidRPr="003B36F4" w:rsidRDefault="00593CAB" w:rsidP="003B36F4">
            <w:pPr>
              <w:spacing w:before="120" w:after="120"/>
              <w:rPr>
                <w:szCs w:val="22"/>
              </w:rPr>
            </w:pPr>
            <w:r>
              <w:rPr>
                <w:szCs w:val="22"/>
              </w:rPr>
              <w:t>Portfolio Area</w:t>
            </w:r>
            <w:r w:rsidR="00077209">
              <w:rPr>
                <w:szCs w:val="22"/>
              </w:rPr>
              <w:t>:</w:t>
            </w:r>
          </w:p>
        </w:tc>
        <w:tc>
          <w:tcPr>
            <w:tcW w:w="5894" w:type="dxa"/>
            <w:gridSpan w:val="5"/>
          </w:tcPr>
          <w:p w:rsidR="00BC177F" w:rsidRPr="00BC177F" w:rsidRDefault="008321C3" w:rsidP="00CD3C77">
            <w:pPr>
              <w:spacing w:before="120" w:after="120"/>
              <w:rPr>
                <w:i/>
                <w:szCs w:val="22"/>
              </w:rPr>
            </w:pPr>
            <w:r>
              <w:rPr>
                <w:b/>
                <w:szCs w:val="22"/>
              </w:rPr>
              <w:t>Council – Cllr Pearce</w:t>
            </w:r>
          </w:p>
        </w:tc>
      </w:tr>
      <w:tr w:rsidR="0096459C" w:rsidRPr="003B36F4">
        <w:tc>
          <w:tcPr>
            <w:tcW w:w="2628" w:type="dxa"/>
            <w:gridSpan w:val="3"/>
          </w:tcPr>
          <w:p w:rsidR="0096459C" w:rsidRPr="003B36F4" w:rsidRDefault="00CD3C77" w:rsidP="003B36F4">
            <w:pPr>
              <w:spacing w:before="120" w:after="120"/>
              <w:rPr>
                <w:szCs w:val="22"/>
              </w:rPr>
            </w:pPr>
            <w:r>
              <w:rPr>
                <w:szCs w:val="22"/>
              </w:rPr>
              <w:t>Wards</w:t>
            </w:r>
            <w:r w:rsidR="0096459C" w:rsidRPr="003B36F4">
              <w:rPr>
                <w:szCs w:val="22"/>
              </w:rPr>
              <w:t xml:space="preserve"> Affected</w:t>
            </w:r>
            <w:r w:rsidR="00077209">
              <w:rPr>
                <w:szCs w:val="22"/>
              </w:rPr>
              <w:t>:</w:t>
            </w:r>
          </w:p>
        </w:tc>
        <w:tc>
          <w:tcPr>
            <w:tcW w:w="5894" w:type="dxa"/>
            <w:gridSpan w:val="5"/>
          </w:tcPr>
          <w:p w:rsidR="0096459C" w:rsidRPr="003B36F4" w:rsidRDefault="00E9434F" w:rsidP="003B36F4">
            <w:pPr>
              <w:spacing w:before="120" w:after="120"/>
              <w:rPr>
                <w:b/>
                <w:szCs w:val="22"/>
              </w:rPr>
            </w:pPr>
            <w:r>
              <w:rPr>
                <w:b/>
                <w:szCs w:val="22"/>
              </w:rPr>
              <w:t>Salcombe</w:t>
            </w:r>
          </w:p>
        </w:tc>
      </w:tr>
      <w:tr w:rsidR="0096459C" w:rsidRPr="003B36F4">
        <w:tc>
          <w:tcPr>
            <w:tcW w:w="8522" w:type="dxa"/>
            <w:gridSpan w:val="8"/>
          </w:tcPr>
          <w:p w:rsidR="004729B6" w:rsidRDefault="0096459C" w:rsidP="003B36F4">
            <w:pPr>
              <w:spacing w:before="120" w:after="120"/>
              <w:rPr>
                <w:szCs w:val="22"/>
              </w:rPr>
            </w:pPr>
            <w:r w:rsidRPr="003B36F4">
              <w:rPr>
                <w:szCs w:val="22"/>
              </w:rPr>
              <w:t xml:space="preserve">Relevant </w:t>
            </w:r>
            <w:r w:rsidR="004729B6">
              <w:rPr>
                <w:szCs w:val="22"/>
              </w:rPr>
              <w:t>Scrutiny Committee:</w:t>
            </w:r>
          </w:p>
          <w:p w:rsidR="00077209" w:rsidRPr="00077209" w:rsidRDefault="00077209" w:rsidP="003B36F4">
            <w:pPr>
              <w:spacing w:before="120" w:after="120"/>
              <w:rPr>
                <w:szCs w:val="22"/>
              </w:rPr>
            </w:pPr>
          </w:p>
        </w:tc>
      </w:tr>
      <w:tr w:rsidR="008321C3" w:rsidTr="000D26E5">
        <w:tblPrEx>
          <w:tblCellMar>
            <w:left w:w="0" w:type="dxa"/>
            <w:right w:w="0" w:type="dxa"/>
          </w:tblCellMar>
          <w:tblLook w:val="04A0" w:firstRow="1" w:lastRow="0" w:firstColumn="1" w:lastColumn="0" w:noHBand="0" w:noVBand="1"/>
        </w:tblPrEx>
        <w:tc>
          <w:tcPr>
            <w:tcW w:w="2395" w:type="dxa"/>
            <w:gridSpan w:val="2"/>
            <w:tcMar>
              <w:top w:w="0" w:type="dxa"/>
              <w:left w:w="108" w:type="dxa"/>
              <w:bottom w:w="0" w:type="dxa"/>
              <w:right w:w="108" w:type="dxa"/>
            </w:tcMar>
          </w:tcPr>
          <w:p w:rsidR="000D26E5" w:rsidRPr="0003171E" w:rsidRDefault="005E23B4" w:rsidP="00F96166">
            <w:pPr>
              <w:spacing w:before="120" w:after="120"/>
              <w:rPr>
                <w:szCs w:val="22"/>
              </w:rPr>
            </w:pPr>
            <w:r>
              <w:rPr>
                <w:szCs w:val="22"/>
              </w:rPr>
              <w:t>Urgent</w:t>
            </w:r>
            <w:r w:rsidR="000D26E5" w:rsidRPr="0003171E">
              <w:rPr>
                <w:szCs w:val="22"/>
              </w:rPr>
              <w:t xml:space="preserve"> Decision:</w:t>
            </w:r>
          </w:p>
        </w:tc>
        <w:tc>
          <w:tcPr>
            <w:tcW w:w="999" w:type="dxa"/>
            <w:gridSpan w:val="2"/>
            <w:tcMar>
              <w:top w:w="0" w:type="dxa"/>
              <w:left w:w="108" w:type="dxa"/>
              <w:bottom w:w="0" w:type="dxa"/>
              <w:right w:w="108" w:type="dxa"/>
            </w:tcMar>
          </w:tcPr>
          <w:p w:rsidR="000D26E5" w:rsidRPr="0003171E" w:rsidRDefault="008321C3" w:rsidP="00F96166">
            <w:pPr>
              <w:spacing w:before="120" w:after="120"/>
              <w:rPr>
                <w:b/>
                <w:szCs w:val="22"/>
              </w:rPr>
            </w:pPr>
            <w:r>
              <w:rPr>
                <w:b/>
                <w:szCs w:val="22"/>
              </w:rPr>
              <w:t>N</w:t>
            </w:r>
          </w:p>
        </w:tc>
        <w:tc>
          <w:tcPr>
            <w:tcW w:w="2656" w:type="dxa"/>
            <w:gridSpan w:val="3"/>
            <w:tcMar>
              <w:top w:w="0" w:type="dxa"/>
              <w:left w:w="108" w:type="dxa"/>
              <w:bottom w:w="0" w:type="dxa"/>
              <w:right w:w="108" w:type="dxa"/>
            </w:tcMar>
          </w:tcPr>
          <w:p w:rsidR="000D26E5" w:rsidRPr="0003171E" w:rsidRDefault="000D26E5" w:rsidP="00F96166">
            <w:pPr>
              <w:spacing w:before="120" w:after="120"/>
              <w:rPr>
                <w:szCs w:val="22"/>
              </w:rPr>
            </w:pPr>
            <w:r w:rsidRPr="0003171E">
              <w:rPr>
                <w:szCs w:val="22"/>
              </w:rPr>
              <w:t>Approval and clearance obtained:</w:t>
            </w:r>
          </w:p>
        </w:tc>
        <w:tc>
          <w:tcPr>
            <w:tcW w:w="2472" w:type="dxa"/>
            <w:tcMar>
              <w:top w:w="0" w:type="dxa"/>
              <w:left w:w="108" w:type="dxa"/>
              <w:bottom w:w="0" w:type="dxa"/>
              <w:right w:w="108" w:type="dxa"/>
            </w:tcMar>
          </w:tcPr>
          <w:p w:rsidR="000D26E5" w:rsidRPr="0003171E" w:rsidRDefault="008321C3" w:rsidP="00F96166">
            <w:pPr>
              <w:spacing w:before="120" w:after="120"/>
              <w:jc w:val="center"/>
              <w:rPr>
                <w:b/>
                <w:szCs w:val="22"/>
              </w:rPr>
            </w:pPr>
            <w:r>
              <w:rPr>
                <w:b/>
                <w:szCs w:val="22"/>
              </w:rPr>
              <w:t>Y</w:t>
            </w:r>
          </w:p>
        </w:tc>
      </w:tr>
      <w:tr w:rsidR="005E23B4" w:rsidTr="001C2C2C">
        <w:tblPrEx>
          <w:tblCellMar>
            <w:left w:w="0" w:type="dxa"/>
            <w:right w:w="0" w:type="dxa"/>
          </w:tblCellMar>
          <w:tblLook w:val="04A0" w:firstRow="1" w:lastRow="0" w:firstColumn="1" w:lastColumn="0" w:noHBand="0" w:noVBand="1"/>
        </w:tblPrEx>
        <w:tc>
          <w:tcPr>
            <w:tcW w:w="6050" w:type="dxa"/>
            <w:gridSpan w:val="7"/>
            <w:tcBorders>
              <w:top w:val="nil"/>
            </w:tcBorders>
            <w:tcMar>
              <w:top w:w="0" w:type="dxa"/>
              <w:left w:w="108" w:type="dxa"/>
              <w:bottom w:w="0" w:type="dxa"/>
              <w:right w:w="108" w:type="dxa"/>
            </w:tcMar>
          </w:tcPr>
          <w:p w:rsidR="005E23B4" w:rsidRPr="0003171E" w:rsidRDefault="005E23B4" w:rsidP="008321C3">
            <w:pPr>
              <w:spacing w:before="120" w:after="120"/>
              <w:rPr>
                <w:szCs w:val="22"/>
              </w:rPr>
            </w:pPr>
            <w:r w:rsidRPr="0003171E">
              <w:rPr>
                <w:szCs w:val="22"/>
              </w:rPr>
              <w:br/>
            </w:r>
          </w:p>
        </w:tc>
        <w:tc>
          <w:tcPr>
            <w:tcW w:w="2472" w:type="dxa"/>
            <w:tcBorders>
              <w:top w:val="nil"/>
            </w:tcBorders>
            <w:tcMar>
              <w:top w:w="0" w:type="dxa"/>
              <w:left w:w="108" w:type="dxa"/>
              <w:bottom w:w="0" w:type="dxa"/>
              <w:right w:w="108" w:type="dxa"/>
            </w:tcMar>
          </w:tcPr>
          <w:p w:rsidR="005E23B4" w:rsidRPr="0003171E" w:rsidRDefault="005E23B4" w:rsidP="00F96166">
            <w:pPr>
              <w:spacing w:before="120" w:after="120"/>
              <w:rPr>
                <w:b/>
                <w:szCs w:val="22"/>
              </w:rPr>
            </w:pPr>
          </w:p>
        </w:tc>
      </w:tr>
      <w:tr w:rsidR="000D26E5" w:rsidTr="000D26E5">
        <w:tblPrEx>
          <w:tblCellMar>
            <w:left w:w="0" w:type="dxa"/>
            <w:right w:w="0" w:type="dxa"/>
          </w:tblCellMar>
          <w:tblLook w:val="04A0" w:firstRow="1" w:lastRow="0" w:firstColumn="1" w:lastColumn="0" w:noHBand="0" w:noVBand="1"/>
        </w:tblPrEx>
        <w:tc>
          <w:tcPr>
            <w:tcW w:w="6050" w:type="dxa"/>
            <w:gridSpan w:val="7"/>
            <w:tcBorders>
              <w:top w:val="nil"/>
            </w:tcBorders>
            <w:tcMar>
              <w:top w:w="0" w:type="dxa"/>
              <w:left w:w="108" w:type="dxa"/>
              <w:bottom w:w="0" w:type="dxa"/>
              <w:right w:w="108" w:type="dxa"/>
            </w:tcMar>
          </w:tcPr>
          <w:p w:rsidR="000D26E5" w:rsidRPr="0003171E" w:rsidRDefault="000D26E5" w:rsidP="00F96166">
            <w:pPr>
              <w:spacing w:before="120" w:after="120"/>
              <w:rPr>
                <w:szCs w:val="22"/>
              </w:rPr>
            </w:pPr>
          </w:p>
        </w:tc>
        <w:tc>
          <w:tcPr>
            <w:tcW w:w="2472" w:type="dxa"/>
            <w:tcBorders>
              <w:top w:val="nil"/>
            </w:tcBorders>
            <w:tcMar>
              <w:top w:w="0" w:type="dxa"/>
              <w:left w:w="108" w:type="dxa"/>
              <w:bottom w:w="0" w:type="dxa"/>
              <w:right w:w="108" w:type="dxa"/>
            </w:tcMar>
          </w:tcPr>
          <w:p w:rsidR="000D26E5" w:rsidRPr="0003171E" w:rsidRDefault="000D26E5" w:rsidP="00F96166">
            <w:pPr>
              <w:spacing w:before="120" w:after="120"/>
              <w:jc w:val="center"/>
              <w:rPr>
                <w:b/>
                <w:szCs w:val="22"/>
              </w:rPr>
            </w:pPr>
          </w:p>
        </w:tc>
      </w:tr>
      <w:tr w:rsidR="0096459C" w:rsidRPr="003B36F4">
        <w:tc>
          <w:tcPr>
            <w:tcW w:w="1312" w:type="dxa"/>
          </w:tcPr>
          <w:p w:rsidR="0096459C" w:rsidRPr="003B36F4" w:rsidRDefault="0096459C" w:rsidP="003B36F4">
            <w:pPr>
              <w:spacing w:before="120" w:after="120"/>
              <w:rPr>
                <w:szCs w:val="22"/>
              </w:rPr>
            </w:pPr>
            <w:r w:rsidRPr="003B36F4">
              <w:rPr>
                <w:szCs w:val="22"/>
              </w:rPr>
              <w:t>Author:</w:t>
            </w:r>
          </w:p>
        </w:tc>
        <w:tc>
          <w:tcPr>
            <w:tcW w:w="2576" w:type="dxa"/>
            <w:gridSpan w:val="4"/>
          </w:tcPr>
          <w:p w:rsidR="0096459C" w:rsidRPr="003B36F4" w:rsidRDefault="00C92969" w:rsidP="003B36F4">
            <w:pPr>
              <w:spacing w:before="120" w:after="120"/>
              <w:rPr>
                <w:szCs w:val="22"/>
              </w:rPr>
            </w:pPr>
            <w:r>
              <w:rPr>
                <w:b/>
                <w:szCs w:val="22"/>
              </w:rPr>
              <w:t>Duncan Smith</w:t>
            </w:r>
          </w:p>
        </w:tc>
        <w:tc>
          <w:tcPr>
            <w:tcW w:w="900" w:type="dxa"/>
          </w:tcPr>
          <w:p w:rsidR="0096459C" w:rsidRPr="003B36F4" w:rsidRDefault="0096459C" w:rsidP="003B36F4">
            <w:pPr>
              <w:spacing w:before="120" w:after="120"/>
              <w:rPr>
                <w:b/>
                <w:szCs w:val="22"/>
              </w:rPr>
            </w:pPr>
            <w:r w:rsidRPr="003B36F4">
              <w:rPr>
                <w:szCs w:val="22"/>
              </w:rPr>
              <w:t>Role:</w:t>
            </w:r>
          </w:p>
        </w:tc>
        <w:tc>
          <w:tcPr>
            <w:tcW w:w="3734" w:type="dxa"/>
            <w:gridSpan w:val="2"/>
          </w:tcPr>
          <w:p w:rsidR="0096459C" w:rsidRPr="003B36F4" w:rsidRDefault="008B75D1" w:rsidP="003B36F4">
            <w:pPr>
              <w:spacing w:before="120" w:after="120"/>
              <w:rPr>
                <w:b/>
                <w:szCs w:val="22"/>
              </w:rPr>
            </w:pPr>
            <w:r>
              <w:rPr>
                <w:b/>
                <w:szCs w:val="22"/>
              </w:rPr>
              <w:t>Neighbourhood Planning Specialist</w:t>
            </w:r>
          </w:p>
        </w:tc>
      </w:tr>
      <w:tr w:rsidR="0096459C" w:rsidRPr="003B36F4">
        <w:tc>
          <w:tcPr>
            <w:tcW w:w="1312" w:type="dxa"/>
          </w:tcPr>
          <w:p w:rsidR="0096459C" w:rsidRPr="003B36F4" w:rsidRDefault="0096459C" w:rsidP="003B36F4">
            <w:pPr>
              <w:spacing w:before="120" w:after="120"/>
              <w:rPr>
                <w:szCs w:val="22"/>
              </w:rPr>
            </w:pPr>
            <w:r w:rsidRPr="003B36F4">
              <w:rPr>
                <w:szCs w:val="22"/>
              </w:rPr>
              <w:t>Contact:</w:t>
            </w:r>
          </w:p>
        </w:tc>
        <w:tc>
          <w:tcPr>
            <w:tcW w:w="7210" w:type="dxa"/>
            <w:gridSpan w:val="7"/>
          </w:tcPr>
          <w:p w:rsidR="0096459C" w:rsidRPr="003B36F4" w:rsidRDefault="0096459C" w:rsidP="00925B61">
            <w:pPr>
              <w:spacing w:before="120" w:after="120"/>
              <w:rPr>
                <w:b/>
                <w:szCs w:val="22"/>
              </w:rPr>
            </w:pPr>
            <w:r w:rsidRPr="003B36F4">
              <w:rPr>
                <w:b/>
                <w:szCs w:val="22"/>
              </w:rPr>
              <w:t>Telephone/</w:t>
            </w:r>
            <w:r w:rsidR="008B75D1">
              <w:rPr>
                <w:b/>
                <w:szCs w:val="22"/>
              </w:rPr>
              <w:t xml:space="preserve">email: </w:t>
            </w:r>
            <w:r w:rsidR="00C92969">
              <w:rPr>
                <w:b/>
                <w:szCs w:val="22"/>
              </w:rPr>
              <w:t>Duncan.Smith</w:t>
            </w:r>
            <w:r w:rsidR="00925B61">
              <w:rPr>
                <w:b/>
                <w:szCs w:val="22"/>
              </w:rPr>
              <w:t>@swdevon.gov.uk</w:t>
            </w:r>
          </w:p>
        </w:tc>
      </w:tr>
    </w:tbl>
    <w:p w:rsidR="004C1FA1" w:rsidRDefault="004C1FA1" w:rsidP="004C1FA1">
      <w:pPr>
        <w:pBdr>
          <w:bottom w:val="single" w:sz="12" w:space="1" w:color="auto"/>
        </w:pBdr>
        <w:rPr>
          <w:szCs w:val="22"/>
        </w:rPr>
      </w:pPr>
    </w:p>
    <w:p w:rsidR="00E45E7D" w:rsidRPr="00E45E7D" w:rsidRDefault="00E45E7D" w:rsidP="004C1FA1">
      <w:pPr>
        <w:rPr>
          <w:szCs w:val="22"/>
        </w:rPr>
      </w:pPr>
    </w:p>
    <w:p w:rsidR="009A6CF4" w:rsidRDefault="009A6CF4" w:rsidP="002344C5">
      <w:pPr>
        <w:rPr>
          <w:i/>
          <w:szCs w:val="22"/>
        </w:rPr>
      </w:pPr>
    </w:p>
    <w:p w:rsidR="00731D2A" w:rsidRDefault="00731D2A" w:rsidP="004C1FA1">
      <w:pPr>
        <w:rPr>
          <w:i/>
          <w:szCs w:val="22"/>
        </w:rPr>
      </w:pPr>
    </w:p>
    <w:p w:rsidR="00731D2A" w:rsidRDefault="00731D2A" w:rsidP="004C1FA1">
      <w:pPr>
        <w:rPr>
          <w:i/>
          <w:szCs w:val="22"/>
        </w:rPr>
        <w:sectPr w:rsidR="00731D2A" w:rsidSect="0003171E">
          <w:pgSz w:w="11906" w:h="16838"/>
          <w:pgMar w:top="1258" w:right="1800" w:bottom="1078"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1FA1" w:rsidRPr="003B36F4">
        <w:tc>
          <w:tcPr>
            <w:tcW w:w="8522" w:type="dxa"/>
          </w:tcPr>
          <w:p w:rsidR="006D01CC" w:rsidRPr="003B36F4" w:rsidRDefault="004C1FA1" w:rsidP="003B36F4">
            <w:pPr>
              <w:spacing w:before="120" w:after="120"/>
              <w:rPr>
                <w:szCs w:val="22"/>
              </w:rPr>
            </w:pPr>
            <w:r w:rsidRPr="003B36F4">
              <w:rPr>
                <w:b/>
                <w:szCs w:val="22"/>
              </w:rPr>
              <w:t>Recommendation</w:t>
            </w:r>
            <w:r w:rsidR="00A30461" w:rsidRPr="003B36F4">
              <w:rPr>
                <w:b/>
                <w:szCs w:val="22"/>
              </w:rPr>
              <w:t>s</w:t>
            </w:r>
            <w:r w:rsidRPr="003B36F4">
              <w:rPr>
                <w:b/>
                <w:szCs w:val="22"/>
              </w:rPr>
              <w:t xml:space="preserve">: </w:t>
            </w:r>
            <w:r w:rsidR="00CD3C77">
              <w:rPr>
                <w:b/>
                <w:szCs w:val="22"/>
              </w:rPr>
              <w:t xml:space="preserve"> </w:t>
            </w:r>
            <w:r w:rsidR="008F528F">
              <w:rPr>
                <w:b/>
                <w:szCs w:val="22"/>
              </w:rPr>
              <w:t>that the Executive:</w:t>
            </w:r>
          </w:p>
          <w:p w:rsidR="00B83E2C" w:rsidRPr="008321C3" w:rsidRDefault="008B75D1" w:rsidP="008321C3">
            <w:pPr>
              <w:pStyle w:val="ListParagraph"/>
              <w:numPr>
                <w:ilvl w:val="0"/>
                <w:numId w:val="17"/>
              </w:numPr>
              <w:spacing w:before="120" w:after="120"/>
              <w:rPr>
                <w:szCs w:val="22"/>
              </w:rPr>
            </w:pPr>
            <w:r w:rsidRPr="008F528F">
              <w:rPr>
                <w:szCs w:val="22"/>
              </w:rPr>
              <w:t xml:space="preserve">approves the making (adoption) of the </w:t>
            </w:r>
            <w:r w:rsidR="00E9434F" w:rsidRPr="008F528F">
              <w:rPr>
                <w:szCs w:val="22"/>
              </w:rPr>
              <w:t>Salcombe</w:t>
            </w:r>
            <w:r w:rsidRPr="008F528F">
              <w:rPr>
                <w:szCs w:val="22"/>
              </w:rPr>
              <w:t xml:space="preserve"> Neighbourhood </w:t>
            </w:r>
            <w:r w:rsidR="00063483" w:rsidRPr="008321C3">
              <w:rPr>
                <w:szCs w:val="22"/>
              </w:rPr>
              <w:t xml:space="preserve">Development </w:t>
            </w:r>
            <w:r w:rsidRPr="008321C3">
              <w:rPr>
                <w:szCs w:val="22"/>
              </w:rPr>
              <w:t>Plan</w:t>
            </w:r>
            <w:r w:rsidR="008321C3">
              <w:rPr>
                <w:szCs w:val="22"/>
              </w:rPr>
              <w:t>; and</w:t>
            </w:r>
          </w:p>
          <w:p w:rsidR="008F528F" w:rsidRDefault="008F528F" w:rsidP="008321C3">
            <w:pPr>
              <w:pStyle w:val="ListParagraph"/>
              <w:numPr>
                <w:ilvl w:val="0"/>
                <w:numId w:val="17"/>
              </w:numPr>
              <w:spacing w:before="120" w:after="120"/>
              <w:rPr>
                <w:szCs w:val="22"/>
              </w:rPr>
            </w:pPr>
            <w:r>
              <w:rPr>
                <w:szCs w:val="22"/>
              </w:rPr>
              <w:t>Agrees the minor modifications requested by the Salcombe Neighbourhood Planning Group set o</w:t>
            </w:r>
            <w:r w:rsidR="008321C3">
              <w:rPr>
                <w:szCs w:val="22"/>
              </w:rPr>
              <w:t>ut as follows:</w:t>
            </w:r>
          </w:p>
          <w:p w:rsidR="008321C3" w:rsidRPr="00E616FF" w:rsidRDefault="008321C3" w:rsidP="008321C3">
            <w:pPr>
              <w:rPr>
                <w:rFonts w:ascii="Arial Narrow" w:hAnsi="Arial Narrow"/>
                <w:i/>
              </w:rPr>
            </w:pPr>
            <w:r w:rsidRPr="00E616FF">
              <w:rPr>
                <w:rFonts w:ascii="Arial Narrow" w:hAnsi="Arial Narrow"/>
                <w:i/>
              </w:rPr>
              <w:t>a minor modification to  the final wording of para </w:t>
            </w:r>
            <w:hyperlink r:id="rId7" w:history="1">
              <w:r w:rsidRPr="00E616FF">
                <w:rPr>
                  <w:rStyle w:val="Hyperlink"/>
                  <w:rFonts w:ascii="Arial Narrow" w:hAnsi="Arial Narrow"/>
                  <w:i/>
                  <w:color w:val="800080"/>
                </w:rPr>
                <w:t>6.6.1.8</w:t>
              </w:r>
            </w:hyperlink>
            <w:r w:rsidRPr="00E616FF">
              <w:rPr>
                <w:rFonts w:ascii="Arial Narrow" w:hAnsi="Arial Narrow"/>
                <w:i/>
              </w:rPr>
              <w:t xml:space="preserve"> that ‘fall within the Settlement Boundary (figure 1B)’ be deleted and replaced by ‘are allocated within the Adopted JLP’ . The Neighbourhood Plan policies are not affected by </w:t>
            </w:r>
            <w:r>
              <w:rPr>
                <w:rFonts w:ascii="Arial Narrow" w:hAnsi="Arial Narrow"/>
                <w:i/>
              </w:rPr>
              <w:t>this change in supporting text.’</w:t>
            </w:r>
          </w:p>
          <w:p w:rsidR="008321C3" w:rsidRDefault="008321C3" w:rsidP="008321C3">
            <w:pPr>
              <w:pStyle w:val="ListParagraph"/>
              <w:spacing w:before="120" w:after="120"/>
              <w:rPr>
                <w:szCs w:val="22"/>
              </w:rPr>
            </w:pPr>
          </w:p>
          <w:p w:rsidR="008321C3" w:rsidRPr="008F528F" w:rsidRDefault="008321C3" w:rsidP="008321C3">
            <w:pPr>
              <w:pStyle w:val="ListParagraph"/>
              <w:spacing w:before="120" w:after="120"/>
              <w:rPr>
                <w:szCs w:val="22"/>
              </w:rPr>
            </w:pPr>
          </w:p>
        </w:tc>
      </w:tr>
    </w:tbl>
    <w:p w:rsidR="00731D2A" w:rsidRDefault="00731D2A" w:rsidP="005E681F">
      <w:pPr>
        <w:spacing w:before="240" w:after="240"/>
        <w:rPr>
          <w:b/>
          <w:szCs w:val="22"/>
        </w:rPr>
        <w:sectPr w:rsidR="00731D2A" w:rsidSect="0003171E">
          <w:type w:val="continuous"/>
          <w:pgSz w:w="11906" w:h="16838"/>
          <w:pgMar w:top="1440" w:right="1800" w:bottom="1440" w:left="1800" w:header="708" w:footer="708" w:gutter="0"/>
          <w:cols w:space="708"/>
          <w:docGrid w:linePitch="360"/>
        </w:sectPr>
      </w:pPr>
    </w:p>
    <w:p w:rsidR="00DD1E84" w:rsidRPr="00C87829" w:rsidRDefault="006C3670" w:rsidP="004B05DC">
      <w:pPr>
        <w:rPr>
          <w:i/>
          <w:szCs w:val="22"/>
        </w:rPr>
      </w:pPr>
      <w:r w:rsidRPr="00DD1E84">
        <w:rPr>
          <w:b/>
        </w:rPr>
        <w:t xml:space="preserve">1. </w:t>
      </w:r>
      <w:r w:rsidR="004B05DC" w:rsidRPr="00DD1E84">
        <w:rPr>
          <w:b/>
        </w:rPr>
        <w:t xml:space="preserve">Executive </w:t>
      </w:r>
      <w:r w:rsidR="008E755C">
        <w:rPr>
          <w:b/>
        </w:rPr>
        <w:t>s</w:t>
      </w:r>
      <w:r w:rsidR="00306E9F" w:rsidRPr="00DD1E84">
        <w:rPr>
          <w:b/>
        </w:rPr>
        <w:t>ummary</w:t>
      </w:r>
      <w:r w:rsidR="00C87829">
        <w:rPr>
          <w:b/>
        </w:rPr>
        <w:t xml:space="preserve"> </w:t>
      </w:r>
    </w:p>
    <w:p w:rsidR="00063483" w:rsidRDefault="00AC692A" w:rsidP="00063483">
      <w:pPr>
        <w:ind w:left="720" w:hanging="720"/>
        <w:rPr>
          <w:szCs w:val="22"/>
        </w:rPr>
      </w:pPr>
      <w:r>
        <w:rPr>
          <w:szCs w:val="22"/>
        </w:rPr>
        <w:t>1.1</w:t>
      </w:r>
      <w:r>
        <w:rPr>
          <w:szCs w:val="22"/>
        </w:rPr>
        <w:tab/>
      </w:r>
      <w:r w:rsidR="00063483">
        <w:rPr>
          <w:szCs w:val="22"/>
        </w:rPr>
        <w:t>Neighbourhood Development Plans are a community right introduced by the Localism Act 2011. They are the responsibility of Parish Councils.</w:t>
      </w:r>
    </w:p>
    <w:p w:rsidR="004729B6" w:rsidRDefault="00AC692A" w:rsidP="00925B61">
      <w:pPr>
        <w:ind w:left="720" w:hanging="720"/>
        <w:rPr>
          <w:szCs w:val="22"/>
        </w:rPr>
      </w:pPr>
      <w:r w:rsidRPr="00AC692A">
        <w:rPr>
          <w:szCs w:val="22"/>
        </w:rPr>
        <w:t xml:space="preserve">1.2 </w:t>
      </w:r>
      <w:r w:rsidRPr="00AC692A">
        <w:rPr>
          <w:szCs w:val="22"/>
        </w:rPr>
        <w:tab/>
      </w:r>
      <w:r w:rsidR="00063483">
        <w:rPr>
          <w:szCs w:val="22"/>
        </w:rPr>
        <w:t>Once ‘made’, or adopted, by the Local Planning Authority, they become a part of the Development Plan for the district and are used alongside the Local Plan to decide planning applications in the area they relate to.</w:t>
      </w:r>
    </w:p>
    <w:p w:rsidR="008E755C" w:rsidRDefault="00925B61" w:rsidP="00F35CE9">
      <w:pPr>
        <w:ind w:left="720" w:hanging="720"/>
        <w:rPr>
          <w:szCs w:val="22"/>
        </w:rPr>
      </w:pPr>
      <w:r>
        <w:rPr>
          <w:szCs w:val="22"/>
        </w:rPr>
        <w:lastRenderedPageBreak/>
        <w:t>1.3</w:t>
      </w:r>
      <w:r w:rsidR="00F35CE9">
        <w:rPr>
          <w:szCs w:val="22"/>
        </w:rPr>
        <w:tab/>
      </w:r>
      <w:r w:rsidR="00063483">
        <w:rPr>
          <w:szCs w:val="22"/>
        </w:rPr>
        <w:t xml:space="preserve">In order to comply with the Neighbourhood Planning Regulations, </w:t>
      </w:r>
      <w:r w:rsidR="00F35CE9">
        <w:rPr>
          <w:szCs w:val="22"/>
        </w:rPr>
        <w:t>the plan must be made by South Hams District Council as the relevant Local Planning Authority within 8 weeks of a successful referendum result.</w:t>
      </w:r>
    </w:p>
    <w:p w:rsidR="004729B6" w:rsidRDefault="004729B6" w:rsidP="00E51D57">
      <w:pPr>
        <w:rPr>
          <w:szCs w:val="22"/>
        </w:rPr>
      </w:pPr>
    </w:p>
    <w:p w:rsidR="00CE5FEE" w:rsidRDefault="00805601" w:rsidP="007652B5">
      <w:pPr>
        <w:pStyle w:val="Default"/>
        <w:rPr>
          <w:b/>
          <w:sz w:val="22"/>
          <w:szCs w:val="22"/>
        </w:rPr>
      </w:pPr>
      <w:r>
        <w:rPr>
          <w:b/>
          <w:sz w:val="22"/>
          <w:szCs w:val="22"/>
        </w:rPr>
        <w:t>2</w:t>
      </w:r>
      <w:r w:rsidR="006C3670">
        <w:rPr>
          <w:b/>
          <w:sz w:val="22"/>
          <w:szCs w:val="22"/>
        </w:rPr>
        <w:t xml:space="preserve">. </w:t>
      </w:r>
      <w:r w:rsidR="00CA0739" w:rsidRPr="00C87829">
        <w:rPr>
          <w:b/>
          <w:sz w:val="22"/>
          <w:szCs w:val="22"/>
        </w:rPr>
        <w:t xml:space="preserve">Background </w:t>
      </w:r>
    </w:p>
    <w:p w:rsidR="00CA0739" w:rsidRPr="000D2841" w:rsidRDefault="00F35CE9" w:rsidP="00AC692A">
      <w:pPr>
        <w:pStyle w:val="ListParagraph"/>
        <w:numPr>
          <w:ilvl w:val="1"/>
          <w:numId w:val="10"/>
        </w:numPr>
        <w:rPr>
          <w:szCs w:val="22"/>
        </w:rPr>
      </w:pPr>
      <w:r w:rsidRPr="000D2841">
        <w:rPr>
          <w:szCs w:val="22"/>
        </w:rPr>
        <w:t xml:space="preserve">The </w:t>
      </w:r>
      <w:r w:rsidR="00E9434F">
        <w:rPr>
          <w:szCs w:val="22"/>
        </w:rPr>
        <w:t>Salcombe</w:t>
      </w:r>
      <w:r w:rsidRPr="000D2841">
        <w:rPr>
          <w:szCs w:val="22"/>
        </w:rPr>
        <w:t xml:space="preserve"> Neighbourhood Plan has been undertaken by </w:t>
      </w:r>
      <w:r w:rsidR="00E9434F">
        <w:rPr>
          <w:szCs w:val="22"/>
        </w:rPr>
        <w:t>Salcombe</w:t>
      </w:r>
      <w:r w:rsidR="00925B61" w:rsidRPr="000D2841">
        <w:rPr>
          <w:szCs w:val="22"/>
        </w:rPr>
        <w:t xml:space="preserve"> Parish</w:t>
      </w:r>
      <w:r w:rsidRPr="000D2841">
        <w:rPr>
          <w:szCs w:val="22"/>
        </w:rPr>
        <w:t xml:space="preserve"> Council in accordance with the relevant legislation and regulations.</w:t>
      </w:r>
    </w:p>
    <w:p w:rsidR="00F35CE9" w:rsidRPr="000D2841" w:rsidRDefault="00F35CE9" w:rsidP="00AC692A">
      <w:pPr>
        <w:pStyle w:val="ListParagraph"/>
        <w:numPr>
          <w:ilvl w:val="1"/>
          <w:numId w:val="10"/>
        </w:numPr>
        <w:rPr>
          <w:szCs w:val="22"/>
        </w:rPr>
      </w:pPr>
      <w:r w:rsidRPr="000D2841">
        <w:rPr>
          <w:szCs w:val="22"/>
        </w:rPr>
        <w:t xml:space="preserve">The </w:t>
      </w:r>
      <w:r w:rsidR="00E9434F">
        <w:rPr>
          <w:szCs w:val="22"/>
        </w:rPr>
        <w:t>Salcombe</w:t>
      </w:r>
      <w:r w:rsidRPr="000D2841">
        <w:rPr>
          <w:szCs w:val="22"/>
        </w:rPr>
        <w:t xml:space="preserve"> Neigh</w:t>
      </w:r>
      <w:r w:rsidR="000C6616" w:rsidRPr="000D2841">
        <w:rPr>
          <w:szCs w:val="22"/>
        </w:rPr>
        <w:t xml:space="preserve">bourhood Area was designated on </w:t>
      </w:r>
      <w:r w:rsidR="00E9434F">
        <w:rPr>
          <w:szCs w:val="22"/>
        </w:rPr>
        <w:t>18</w:t>
      </w:r>
      <w:r w:rsidR="002A4D3B" w:rsidRPr="002A4D3B">
        <w:rPr>
          <w:szCs w:val="22"/>
          <w:vertAlign w:val="superscript"/>
        </w:rPr>
        <w:t>th</w:t>
      </w:r>
      <w:r w:rsidR="00D76859">
        <w:rPr>
          <w:szCs w:val="22"/>
        </w:rPr>
        <w:t xml:space="preserve"> July </w:t>
      </w:r>
      <w:r w:rsidR="00E9434F">
        <w:rPr>
          <w:szCs w:val="22"/>
        </w:rPr>
        <w:t>2013</w:t>
      </w:r>
      <w:r w:rsidRPr="000D2841">
        <w:rPr>
          <w:szCs w:val="22"/>
        </w:rPr>
        <w:t>.</w:t>
      </w:r>
    </w:p>
    <w:p w:rsidR="00F35CE9" w:rsidRPr="000D2841" w:rsidRDefault="00F35CE9" w:rsidP="00AC692A">
      <w:pPr>
        <w:pStyle w:val="ListParagraph"/>
        <w:numPr>
          <w:ilvl w:val="1"/>
          <w:numId w:val="10"/>
        </w:numPr>
        <w:rPr>
          <w:szCs w:val="22"/>
        </w:rPr>
      </w:pPr>
      <w:r w:rsidRPr="000D2841">
        <w:rPr>
          <w:szCs w:val="22"/>
        </w:rPr>
        <w:t xml:space="preserve">Following the necessary community engagement, consultation and background work, a draft plan was submitted </w:t>
      </w:r>
      <w:r w:rsidR="00A86A3F" w:rsidRPr="000D2841">
        <w:rPr>
          <w:szCs w:val="22"/>
        </w:rPr>
        <w:t xml:space="preserve">to South Hams District Council on </w:t>
      </w:r>
      <w:r w:rsidR="00E9434F">
        <w:rPr>
          <w:szCs w:val="22"/>
        </w:rPr>
        <w:t>1</w:t>
      </w:r>
      <w:r w:rsidR="002A4D3B">
        <w:rPr>
          <w:szCs w:val="22"/>
        </w:rPr>
        <w:t>8</w:t>
      </w:r>
      <w:r w:rsidR="002A4D3B" w:rsidRPr="002A4D3B">
        <w:rPr>
          <w:szCs w:val="22"/>
          <w:vertAlign w:val="superscript"/>
        </w:rPr>
        <w:t>th</w:t>
      </w:r>
      <w:r w:rsidR="00E9434F">
        <w:rPr>
          <w:szCs w:val="22"/>
        </w:rPr>
        <w:t xml:space="preserve"> December 2018</w:t>
      </w:r>
      <w:r w:rsidR="00A86A3F" w:rsidRPr="000D2841">
        <w:rPr>
          <w:szCs w:val="22"/>
        </w:rPr>
        <w:t>, in accordance with Regulation 15 of the Neighbourhood Planning (General) Regulations.</w:t>
      </w:r>
    </w:p>
    <w:p w:rsidR="00A86A3F" w:rsidRDefault="00A86A3F" w:rsidP="00E9434F">
      <w:pPr>
        <w:pStyle w:val="ListParagraph"/>
        <w:numPr>
          <w:ilvl w:val="1"/>
          <w:numId w:val="10"/>
        </w:numPr>
        <w:rPr>
          <w:szCs w:val="22"/>
        </w:rPr>
      </w:pPr>
      <w:r w:rsidRPr="000D2841">
        <w:rPr>
          <w:szCs w:val="22"/>
        </w:rPr>
        <w:t>The District Council cons</w:t>
      </w:r>
      <w:r w:rsidR="000C6616" w:rsidRPr="000D2841">
        <w:rPr>
          <w:szCs w:val="22"/>
        </w:rPr>
        <w:t xml:space="preserve">ulted on the draft plan between </w:t>
      </w:r>
      <w:r w:rsidR="00E9434F" w:rsidRPr="00E9434F">
        <w:rPr>
          <w:szCs w:val="22"/>
        </w:rPr>
        <w:t>18</w:t>
      </w:r>
      <w:r w:rsidR="0042090B" w:rsidRPr="0042090B">
        <w:rPr>
          <w:szCs w:val="22"/>
          <w:vertAlign w:val="superscript"/>
        </w:rPr>
        <w:t>th</w:t>
      </w:r>
      <w:r w:rsidR="0042090B">
        <w:rPr>
          <w:szCs w:val="22"/>
        </w:rPr>
        <w:t xml:space="preserve"> December 20</w:t>
      </w:r>
      <w:r w:rsidR="00E9434F" w:rsidRPr="00E9434F">
        <w:rPr>
          <w:szCs w:val="22"/>
        </w:rPr>
        <w:t xml:space="preserve">18 </w:t>
      </w:r>
      <w:r w:rsidR="0042090B">
        <w:rPr>
          <w:szCs w:val="22"/>
        </w:rPr>
        <w:t>–</w:t>
      </w:r>
      <w:r w:rsidR="00E9434F" w:rsidRPr="00E9434F">
        <w:rPr>
          <w:szCs w:val="22"/>
        </w:rPr>
        <w:t xml:space="preserve"> 29</w:t>
      </w:r>
      <w:r w:rsidR="0042090B" w:rsidRPr="0042090B">
        <w:rPr>
          <w:szCs w:val="22"/>
          <w:vertAlign w:val="superscript"/>
        </w:rPr>
        <w:t>th</w:t>
      </w:r>
      <w:r w:rsidR="0042090B">
        <w:rPr>
          <w:szCs w:val="22"/>
        </w:rPr>
        <w:t xml:space="preserve"> January 20</w:t>
      </w:r>
      <w:r w:rsidR="00E9434F" w:rsidRPr="00E9434F">
        <w:rPr>
          <w:szCs w:val="22"/>
        </w:rPr>
        <w:t>19</w:t>
      </w:r>
      <w:r>
        <w:rPr>
          <w:szCs w:val="22"/>
        </w:rPr>
        <w:t>, in accordance with Regulation 16 of the above Regulations.</w:t>
      </w:r>
    </w:p>
    <w:p w:rsidR="00A86A3F" w:rsidRDefault="00A86A3F" w:rsidP="00AC692A">
      <w:pPr>
        <w:pStyle w:val="ListParagraph"/>
        <w:numPr>
          <w:ilvl w:val="1"/>
          <w:numId w:val="10"/>
        </w:numPr>
        <w:rPr>
          <w:szCs w:val="22"/>
        </w:rPr>
      </w:pPr>
      <w:r>
        <w:rPr>
          <w:szCs w:val="22"/>
        </w:rPr>
        <w:t xml:space="preserve">Following this consultation an independent examiner was appointed in accordance with Regulation 17, who confirmed that, subject to minor modifications, the plan met the ‘basic conditions’ </w:t>
      </w:r>
      <w:r w:rsidR="000526B6">
        <w:rPr>
          <w:szCs w:val="22"/>
        </w:rPr>
        <w:t xml:space="preserve">as set out in legislation, </w:t>
      </w:r>
      <w:r>
        <w:rPr>
          <w:szCs w:val="22"/>
        </w:rPr>
        <w:t>and was suitable to go forward to referendum.</w:t>
      </w:r>
    </w:p>
    <w:p w:rsidR="00A86A3F" w:rsidRPr="00EE46AD" w:rsidRDefault="00A86A3F" w:rsidP="00FB4BC7">
      <w:pPr>
        <w:pStyle w:val="ListParagraph"/>
        <w:numPr>
          <w:ilvl w:val="1"/>
          <w:numId w:val="10"/>
        </w:numPr>
        <w:rPr>
          <w:szCs w:val="22"/>
        </w:rPr>
      </w:pPr>
      <w:r w:rsidRPr="00EE46AD">
        <w:rPr>
          <w:szCs w:val="22"/>
        </w:rPr>
        <w:t xml:space="preserve">The </w:t>
      </w:r>
      <w:r w:rsidR="007013F0" w:rsidRPr="00EE46AD">
        <w:rPr>
          <w:szCs w:val="22"/>
        </w:rPr>
        <w:t xml:space="preserve">Council agreed with the Examiner’s conclusion, and a </w:t>
      </w:r>
      <w:r w:rsidRPr="00EE46AD">
        <w:rPr>
          <w:szCs w:val="22"/>
        </w:rPr>
        <w:t xml:space="preserve">referendum held on </w:t>
      </w:r>
      <w:r w:rsidR="002A4D3B" w:rsidRPr="00EE46AD">
        <w:rPr>
          <w:szCs w:val="22"/>
        </w:rPr>
        <w:t>25</w:t>
      </w:r>
      <w:r w:rsidR="000C6616" w:rsidRPr="00EE46AD">
        <w:rPr>
          <w:szCs w:val="22"/>
          <w:vertAlign w:val="superscript"/>
        </w:rPr>
        <w:t>th</w:t>
      </w:r>
      <w:r w:rsidR="002A4D3B" w:rsidRPr="00EE46AD">
        <w:rPr>
          <w:szCs w:val="22"/>
        </w:rPr>
        <w:t xml:space="preserve"> July 2019</w:t>
      </w:r>
      <w:r w:rsidR="000C6616" w:rsidRPr="00EE46AD">
        <w:rPr>
          <w:szCs w:val="22"/>
        </w:rPr>
        <w:t xml:space="preserve"> achieved a turnout of </w:t>
      </w:r>
      <w:r w:rsidR="00EE46AD" w:rsidRPr="00EE46AD">
        <w:rPr>
          <w:szCs w:val="22"/>
        </w:rPr>
        <w:t>33.4%</w:t>
      </w:r>
      <w:r w:rsidRPr="00EE46AD">
        <w:rPr>
          <w:szCs w:val="22"/>
        </w:rPr>
        <w:t xml:space="preserve"> of local residents. Of these, </w:t>
      </w:r>
      <w:r w:rsidR="00EE46AD" w:rsidRPr="00EE46AD">
        <w:rPr>
          <w:szCs w:val="22"/>
        </w:rPr>
        <w:t>93.07</w:t>
      </w:r>
      <w:r w:rsidR="000C6616" w:rsidRPr="00EE46AD">
        <w:rPr>
          <w:szCs w:val="22"/>
        </w:rPr>
        <w:t>%</w:t>
      </w:r>
      <w:r w:rsidRPr="00EE46AD">
        <w:rPr>
          <w:szCs w:val="22"/>
        </w:rPr>
        <w:t xml:space="preserve"> voted in favour of the plan.</w:t>
      </w:r>
    </w:p>
    <w:p w:rsidR="000526B6" w:rsidRDefault="000526B6" w:rsidP="00AC692A">
      <w:pPr>
        <w:pStyle w:val="ListParagraph"/>
        <w:numPr>
          <w:ilvl w:val="1"/>
          <w:numId w:val="10"/>
        </w:numPr>
        <w:rPr>
          <w:szCs w:val="22"/>
        </w:rPr>
      </w:pPr>
      <w:r w:rsidRPr="00EE46AD">
        <w:rPr>
          <w:szCs w:val="22"/>
        </w:rPr>
        <w:t>Following</w:t>
      </w:r>
      <w:r>
        <w:rPr>
          <w:szCs w:val="22"/>
        </w:rPr>
        <w:t xml:space="preserve"> a majority vote in a refer</w:t>
      </w:r>
      <w:r w:rsidR="007013F0">
        <w:rPr>
          <w:szCs w:val="22"/>
        </w:rPr>
        <w:t>endum</w:t>
      </w:r>
      <w:r w:rsidR="000C6616">
        <w:rPr>
          <w:szCs w:val="22"/>
        </w:rPr>
        <w:t xml:space="preserve"> to ‘make’ the plan,</w:t>
      </w:r>
      <w:r>
        <w:rPr>
          <w:szCs w:val="22"/>
        </w:rPr>
        <w:t xml:space="preserve"> it becomes a statutory part of the Local Development Plan and is used alongside the Local Plan</w:t>
      </w:r>
      <w:r w:rsidR="000C6616">
        <w:rPr>
          <w:szCs w:val="22"/>
        </w:rPr>
        <w:t xml:space="preserve"> (Joint Local Plan once adopted)</w:t>
      </w:r>
      <w:r>
        <w:rPr>
          <w:szCs w:val="22"/>
        </w:rPr>
        <w:t xml:space="preserve"> to help decide planning applications in the Neighbourhood Area.</w:t>
      </w:r>
    </w:p>
    <w:p w:rsidR="000526B6" w:rsidRDefault="000526B6" w:rsidP="00AC692A">
      <w:pPr>
        <w:pStyle w:val="ListParagraph"/>
        <w:numPr>
          <w:ilvl w:val="1"/>
          <w:numId w:val="10"/>
        </w:numPr>
        <w:rPr>
          <w:szCs w:val="22"/>
        </w:rPr>
      </w:pPr>
      <w:r>
        <w:rPr>
          <w:szCs w:val="22"/>
        </w:rPr>
        <w:t xml:space="preserve">Council officers have worked alongside the </w:t>
      </w:r>
      <w:r w:rsidR="00E9434F">
        <w:rPr>
          <w:szCs w:val="22"/>
        </w:rPr>
        <w:t>Salcombe</w:t>
      </w:r>
      <w:r w:rsidR="000C6616">
        <w:rPr>
          <w:szCs w:val="22"/>
        </w:rPr>
        <w:t xml:space="preserve"> </w:t>
      </w:r>
      <w:r>
        <w:rPr>
          <w:szCs w:val="22"/>
        </w:rPr>
        <w:t xml:space="preserve">Neighbourhood Plan Group to ensure that the Neighbourhood Plan provides an appropriate framework </w:t>
      </w:r>
      <w:r w:rsidR="000C6616">
        <w:rPr>
          <w:szCs w:val="22"/>
        </w:rPr>
        <w:t xml:space="preserve">for development in the </w:t>
      </w:r>
      <w:r w:rsidR="00E9434F">
        <w:rPr>
          <w:szCs w:val="22"/>
        </w:rPr>
        <w:t>Salcombe</w:t>
      </w:r>
      <w:r>
        <w:rPr>
          <w:szCs w:val="22"/>
        </w:rPr>
        <w:t xml:space="preserve"> area up to 2034.</w:t>
      </w:r>
    </w:p>
    <w:p w:rsidR="000526B6" w:rsidRPr="00AC692A" w:rsidRDefault="000526B6" w:rsidP="00AC692A">
      <w:pPr>
        <w:pStyle w:val="ListParagraph"/>
        <w:numPr>
          <w:ilvl w:val="1"/>
          <w:numId w:val="10"/>
        </w:numPr>
        <w:rPr>
          <w:szCs w:val="22"/>
        </w:rPr>
      </w:pPr>
      <w:r>
        <w:rPr>
          <w:szCs w:val="22"/>
        </w:rPr>
        <w:t xml:space="preserve">Officers confirm that the plan meets the necessary ‘basic conditions’, including conformity with the Local Plan and with national policy. </w:t>
      </w:r>
    </w:p>
    <w:p w:rsidR="00CA0739" w:rsidRPr="00AC692A" w:rsidRDefault="008C0C13" w:rsidP="00AC692A">
      <w:pPr>
        <w:pStyle w:val="ListParagraph"/>
        <w:numPr>
          <w:ilvl w:val="1"/>
          <w:numId w:val="10"/>
        </w:numPr>
        <w:rPr>
          <w:szCs w:val="22"/>
        </w:rPr>
      </w:pPr>
      <w:r>
        <w:rPr>
          <w:szCs w:val="22"/>
        </w:rPr>
        <w:t xml:space="preserve">Regulation 18a of the </w:t>
      </w:r>
      <w:r w:rsidRPr="008C0C13">
        <w:rPr>
          <w:szCs w:val="22"/>
        </w:rPr>
        <w:t>Neighbourhood Planning (General) Regulations</w:t>
      </w:r>
      <w:r>
        <w:rPr>
          <w:szCs w:val="22"/>
        </w:rPr>
        <w:t xml:space="preserve"> require</w:t>
      </w:r>
      <w:r w:rsidR="00AA265A">
        <w:rPr>
          <w:szCs w:val="22"/>
        </w:rPr>
        <w:t>s</w:t>
      </w:r>
      <w:r>
        <w:rPr>
          <w:szCs w:val="22"/>
        </w:rPr>
        <w:t xml:space="preserve"> that a neighbourhood plan is ‘made’ by the Local Planning Authority no later than 8 weeks from the date of a successful referendum. In this case the relevant date by which the plan should be made is </w:t>
      </w:r>
      <w:r w:rsidR="002A4D3B">
        <w:rPr>
          <w:szCs w:val="22"/>
        </w:rPr>
        <w:t>19</w:t>
      </w:r>
      <w:r w:rsidR="002A4D3B" w:rsidRPr="002A4D3B">
        <w:rPr>
          <w:szCs w:val="22"/>
          <w:vertAlign w:val="superscript"/>
        </w:rPr>
        <w:t>th</w:t>
      </w:r>
      <w:r w:rsidR="002A4D3B">
        <w:rPr>
          <w:szCs w:val="22"/>
        </w:rPr>
        <w:t xml:space="preserve"> September 2019</w:t>
      </w:r>
      <w:r>
        <w:rPr>
          <w:szCs w:val="22"/>
        </w:rPr>
        <w:t>.</w:t>
      </w:r>
    </w:p>
    <w:p w:rsidR="00CA0739" w:rsidRDefault="008C0C13" w:rsidP="00AC692A">
      <w:pPr>
        <w:pStyle w:val="ListParagraph"/>
        <w:numPr>
          <w:ilvl w:val="1"/>
          <w:numId w:val="10"/>
        </w:numPr>
        <w:rPr>
          <w:szCs w:val="22"/>
        </w:rPr>
      </w:pPr>
      <w:r>
        <w:rPr>
          <w:szCs w:val="22"/>
        </w:rPr>
        <w:t>The Council has previously expressed support for neighbourhood plans as a way of achieving local and community priorities.</w:t>
      </w:r>
    </w:p>
    <w:p w:rsidR="00F8305F" w:rsidRDefault="00F8305F" w:rsidP="00F8305F">
      <w:pPr>
        <w:pStyle w:val="ListParagraph"/>
        <w:rPr>
          <w:b/>
          <w:szCs w:val="22"/>
        </w:rPr>
      </w:pPr>
    </w:p>
    <w:p w:rsidR="008321C3" w:rsidRDefault="00F8305F" w:rsidP="008321C3">
      <w:pPr>
        <w:pStyle w:val="ListParagraph"/>
        <w:numPr>
          <w:ilvl w:val="0"/>
          <w:numId w:val="16"/>
        </w:numPr>
        <w:ind w:left="709" w:hanging="709"/>
        <w:rPr>
          <w:b/>
          <w:szCs w:val="22"/>
        </w:rPr>
      </w:pPr>
      <w:r w:rsidRPr="00F8305F">
        <w:rPr>
          <w:b/>
          <w:szCs w:val="22"/>
        </w:rPr>
        <w:t>Proposed Modification to</w:t>
      </w:r>
      <w:r>
        <w:rPr>
          <w:b/>
          <w:szCs w:val="22"/>
        </w:rPr>
        <w:t xml:space="preserve"> the Salcombe Neighbourhood Plan</w:t>
      </w:r>
    </w:p>
    <w:p w:rsidR="00F8305F" w:rsidRPr="008321C3" w:rsidRDefault="00E616FF" w:rsidP="008321C3">
      <w:pPr>
        <w:pStyle w:val="ListParagraph"/>
        <w:ind w:left="709" w:hanging="709"/>
        <w:rPr>
          <w:b/>
          <w:szCs w:val="22"/>
        </w:rPr>
      </w:pPr>
      <w:r w:rsidRPr="008321C3">
        <w:rPr>
          <w:szCs w:val="22"/>
        </w:rPr>
        <w:t>3.1</w:t>
      </w:r>
      <w:r w:rsidRPr="008321C3">
        <w:rPr>
          <w:b/>
          <w:szCs w:val="22"/>
        </w:rPr>
        <w:t xml:space="preserve"> </w:t>
      </w:r>
      <w:r w:rsidR="00F8305F" w:rsidRPr="008321C3">
        <w:rPr>
          <w:rFonts w:cs="Calibri"/>
          <w:szCs w:val="22"/>
        </w:rPr>
        <w:t xml:space="preserve"> </w:t>
      </w:r>
      <w:r w:rsidR="008321C3">
        <w:rPr>
          <w:rFonts w:cs="Calibri"/>
          <w:szCs w:val="22"/>
        </w:rPr>
        <w:t xml:space="preserve">   </w:t>
      </w:r>
      <w:r w:rsidR="00F8305F" w:rsidRPr="008321C3">
        <w:rPr>
          <w:rFonts w:cs="Calibri"/>
          <w:szCs w:val="22"/>
        </w:rPr>
        <w:t>Section 4 and Schedule A2 of the</w:t>
      </w:r>
      <w:r w:rsidRPr="008321C3">
        <w:rPr>
          <w:rFonts w:cs="Calibri"/>
          <w:szCs w:val="22"/>
        </w:rPr>
        <w:t xml:space="preserve"> </w:t>
      </w:r>
      <w:r w:rsidR="00F8305F" w:rsidRPr="008321C3">
        <w:rPr>
          <w:rFonts w:cs="Calibri"/>
          <w:szCs w:val="22"/>
        </w:rPr>
        <w:t xml:space="preserve">Neighbourhood Planning Act </w:t>
      </w:r>
      <w:r w:rsidRPr="008321C3">
        <w:rPr>
          <w:rFonts w:cs="Calibri"/>
          <w:szCs w:val="22"/>
        </w:rPr>
        <w:t xml:space="preserve">        </w:t>
      </w:r>
      <w:r w:rsidR="00F8305F" w:rsidRPr="008321C3">
        <w:rPr>
          <w:rFonts w:cs="Calibri"/>
          <w:szCs w:val="22"/>
        </w:rPr>
        <w:t>2017</w:t>
      </w:r>
      <w:r w:rsidRPr="008321C3">
        <w:rPr>
          <w:rFonts w:cs="Calibri"/>
          <w:szCs w:val="22"/>
        </w:rPr>
        <w:t xml:space="preserve"> empowers the Council to make </w:t>
      </w:r>
      <w:r w:rsidR="00F8305F" w:rsidRPr="008321C3">
        <w:rPr>
          <w:rFonts w:cs="Calibri"/>
          <w:szCs w:val="22"/>
        </w:rPr>
        <w:t>minor non material modifications to a Neighbourhood Plan that do not materially affect the policies.</w:t>
      </w:r>
    </w:p>
    <w:p w:rsidR="00F8305F" w:rsidRDefault="00F8305F" w:rsidP="008321C3">
      <w:pPr>
        <w:autoSpaceDE w:val="0"/>
        <w:autoSpaceDN w:val="0"/>
        <w:adjustRightInd w:val="0"/>
        <w:ind w:left="851" w:hanging="1702"/>
        <w:rPr>
          <w:rFonts w:cs="Calibri"/>
          <w:szCs w:val="22"/>
        </w:rPr>
      </w:pPr>
      <w:r>
        <w:rPr>
          <w:rFonts w:cs="Calibri"/>
          <w:szCs w:val="22"/>
        </w:rPr>
        <w:t xml:space="preserve">           </w:t>
      </w:r>
      <w:r w:rsidR="00E616FF">
        <w:rPr>
          <w:rFonts w:cs="Calibri"/>
          <w:szCs w:val="22"/>
        </w:rPr>
        <w:t xml:space="preserve">3.2 </w:t>
      </w:r>
      <w:r w:rsidR="008321C3">
        <w:rPr>
          <w:rFonts w:cs="Calibri"/>
          <w:szCs w:val="22"/>
        </w:rPr>
        <w:t xml:space="preserve">     </w:t>
      </w:r>
      <w:r>
        <w:rPr>
          <w:rFonts w:cs="Calibri"/>
          <w:szCs w:val="22"/>
        </w:rPr>
        <w:t xml:space="preserve">Salcombe Neighbour Planning </w:t>
      </w:r>
      <w:r w:rsidR="00E616FF">
        <w:rPr>
          <w:rFonts w:cs="Calibri"/>
          <w:szCs w:val="22"/>
        </w:rPr>
        <w:t>Group wrote to the Council as follows:-</w:t>
      </w:r>
    </w:p>
    <w:p w:rsidR="00E616FF" w:rsidRDefault="00E616FF" w:rsidP="008321C3">
      <w:pPr>
        <w:ind w:left="851"/>
        <w:rPr>
          <w:rFonts w:ascii="Arial Narrow" w:hAnsi="Arial Narrow"/>
        </w:rPr>
      </w:pPr>
    </w:p>
    <w:p w:rsidR="00E616FF" w:rsidRPr="00E616FF" w:rsidRDefault="00E616FF" w:rsidP="008321C3">
      <w:pPr>
        <w:ind w:left="851"/>
        <w:rPr>
          <w:rFonts w:ascii="Times New Roman" w:hAnsi="Times New Roman"/>
          <w:i/>
          <w:sz w:val="24"/>
        </w:rPr>
      </w:pPr>
      <w:r w:rsidRPr="00E616FF">
        <w:rPr>
          <w:rFonts w:ascii="Arial Narrow" w:hAnsi="Arial Narrow"/>
          <w:i/>
        </w:rPr>
        <w:t>“Just prior to the referendum on the Salcombe</w:t>
      </w:r>
      <w:r>
        <w:rPr>
          <w:rFonts w:ascii="Arial Narrow" w:hAnsi="Arial Narrow"/>
          <w:i/>
        </w:rPr>
        <w:t xml:space="preserve"> NDP a member of the community </w:t>
      </w:r>
      <w:r w:rsidRPr="00E616FF">
        <w:rPr>
          <w:rFonts w:ascii="Arial Narrow" w:hAnsi="Arial Narrow"/>
          <w:i/>
        </w:rPr>
        <w:t>drew our attention to the accuracy of para. </w:t>
      </w:r>
      <w:hyperlink r:id="rId8" w:history="1">
        <w:r w:rsidRPr="00E616FF">
          <w:rPr>
            <w:rStyle w:val="Hyperlink"/>
            <w:rFonts w:ascii="Arial Narrow" w:hAnsi="Arial Narrow"/>
            <w:i/>
            <w:color w:val="800080"/>
          </w:rPr>
          <w:t>6.6.1.8</w:t>
        </w:r>
      </w:hyperlink>
      <w:r w:rsidRPr="00E616FF">
        <w:rPr>
          <w:rFonts w:ascii="Arial Narrow" w:hAnsi="Arial Narrow"/>
          <w:i/>
        </w:rPr>
        <w:t> of the Plan.</w:t>
      </w:r>
    </w:p>
    <w:p w:rsidR="00E616FF" w:rsidRPr="00E616FF" w:rsidRDefault="00E616FF" w:rsidP="008321C3">
      <w:pPr>
        <w:ind w:left="851"/>
        <w:rPr>
          <w:i/>
        </w:rPr>
      </w:pPr>
      <w:r w:rsidRPr="00E616FF">
        <w:rPr>
          <w:rFonts w:ascii="Arial Narrow" w:hAnsi="Arial Narrow"/>
          <w:i/>
        </w:rPr>
        <w:t> </w:t>
      </w:r>
    </w:p>
    <w:p w:rsidR="00E616FF" w:rsidRPr="00E616FF" w:rsidRDefault="00E616FF" w:rsidP="008321C3">
      <w:pPr>
        <w:ind w:left="851"/>
        <w:rPr>
          <w:i/>
        </w:rPr>
      </w:pPr>
      <w:r w:rsidRPr="00E616FF">
        <w:rPr>
          <w:rFonts w:ascii="Arial Narrow" w:hAnsi="Arial Narrow"/>
          <w:i/>
        </w:rPr>
        <w:t>JLP allocated housing site TTV29.21 falls outside the 2011 settlement boundary illustrated in Figure 1B .</w:t>
      </w:r>
      <w:r w:rsidRPr="00E616FF">
        <w:rPr>
          <w:rFonts w:ascii="Arial Narrow" w:hAnsi="Arial Narrow"/>
          <w:i/>
          <w:color w:val="1F497D"/>
        </w:rPr>
        <w:t> </w:t>
      </w:r>
      <w:r w:rsidRPr="00E616FF">
        <w:rPr>
          <w:rFonts w:ascii="Arial Narrow" w:hAnsi="Arial Narrow"/>
          <w:i/>
        </w:rPr>
        <w:t>During the Strategic Environmental Assessment process consideration was given to the exact location of the settlement boundary as a result of comments raised by Natural England. It was decided that, to afford the best protection for Salcombe against inappropriate development, that inclusion of the 2011 settlement boundary (identified in the then adopted South Hams Local Plan) in the Neighbourhood Plan, provided the best option. The Neighbourhood Plan, scrutinised by the Examiner, included the settlement boundary as described and he raised no objection to this proposal.</w:t>
      </w:r>
    </w:p>
    <w:p w:rsidR="00E616FF" w:rsidRPr="00E616FF" w:rsidRDefault="00E616FF" w:rsidP="008321C3">
      <w:pPr>
        <w:ind w:left="851"/>
        <w:rPr>
          <w:i/>
        </w:rPr>
      </w:pPr>
      <w:r w:rsidRPr="00E616FF">
        <w:rPr>
          <w:rFonts w:ascii="Arial Narrow" w:hAnsi="Arial Narrow"/>
          <w:i/>
          <w:color w:val="1F497D"/>
          <w:szCs w:val="22"/>
        </w:rPr>
        <w:t> </w:t>
      </w:r>
    </w:p>
    <w:p w:rsidR="00E616FF" w:rsidRPr="00E616FF" w:rsidRDefault="00E616FF" w:rsidP="008321C3">
      <w:pPr>
        <w:ind w:left="851"/>
        <w:rPr>
          <w:rFonts w:ascii="Arial Narrow" w:hAnsi="Arial Narrow"/>
          <w:i/>
        </w:rPr>
      </w:pPr>
      <w:r w:rsidRPr="00E616FF">
        <w:rPr>
          <w:rFonts w:ascii="Arial Narrow" w:hAnsi="Arial Narrow"/>
          <w:i/>
        </w:rPr>
        <w:t>We understand that you as the Local Planning Authority are permitted to make minor changes to the the Plan text post referendum and prior to its adoption by SHDC to ensure 100% accuracy of the text. On behalf of the NPG we therefore request a minor modification to  the final wording of para </w:t>
      </w:r>
      <w:hyperlink r:id="rId9" w:history="1">
        <w:r w:rsidRPr="00E616FF">
          <w:rPr>
            <w:rStyle w:val="Hyperlink"/>
            <w:rFonts w:ascii="Arial Narrow" w:hAnsi="Arial Narrow"/>
            <w:i/>
            <w:color w:val="800080"/>
          </w:rPr>
          <w:t>6.6.1.8</w:t>
        </w:r>
      </w:hyperlink>
      <w:r w:rsidRPr="00E616FF">
        <w:rPr>
          <w:rFonts w:ascii="Arial Narrow" w:hAnsi="Arial Narrow"/>
          <w:i/>
        </w:rPr>
        <w:t> that ‘fall within the Settlement Boundary (figure 1B)’ be deleted and replaced by ‘are allocated within the Adopted JLP’ . The Neighbourhood Plan policies are not affected by this change in supporting text.”</w:t>
      </w:r>
    </w:p>
    <w:p w:rsidR="00E616FF" w:rsidRPr="00E616FF" w:rsidRDefault="00E616FF" w:rsidP="00E616FF">
      <w:pPr>
        <w:rPr>
          <w:rFonts w:ascii="Arial Narrow" w:hAnsi="Arial Narrow"/>
          <w:i/>
        </w:rPr>
      </w:pPr>
    </w:p>
    <w:p w:rsidR="00E616FF" w:rsidRPr="00E616FF" w:rsidRDefault="00E616FF" w:rsidP="008321C3">
      <w:pPr>
        <w:ind w:left="709" w:hanging="709"/>
      </w:pPr>
      <w:r>
        <w:t>3.</w:t>
      </w:r>
      <w:r w:rsidR="008321C3">
        <w:t>3</w:t>
      </w:r>
      <w:r>
        <w:t xml:space="preserve">  </w:t>
      </w:r>
      <w:r w:rsidR="008321C3">
        <w:t xml:space="preserve">   </w:t>
      </w:r>
      <w:r>
        <w:t xml:space="preserve">Officers </w:t>
      </w:r>
      <w:r w:rsidRPr="00E616FF">
        <w:t xml:space="preserve">have checked the Plan and agree that as it stands the </w:t>
      </w:r>
      <w:r w:rsidRPr="00E616FF">
        <w:t>wording of the Plan is incorrect. Fur</w:t>
      </w:r>
      <w:r>
        <w:t xml:space="preserve">thermore that </w:t>
      </w:r>
      <w:r w:rsidRPr="00E616FF">
        <w:t>modifying the Plan as requested would amount to a minor modification</w:t>
      </w:r>
      <w:r>
        <w:t xml:space="preserve"> with no material effect on the content of the Plan.</w:t>
      </w:r>
    </w:p>
    <w:p w:rsidR="00E616FF" w:rsidRPr="00F8305F" w:rsidRDefault="00E616FF" w:rsidP="00F8305F">
      <w:pPr>
        <w:autoSpaceDE w:val="0"/>
        <w:autoSpaceDN w:val="0"/>
        <w:adjustRightInd w:val="0"/>
        <w:rPr>
          <w:rFonts w:cs="Calibri"/>
          <w:szCs w:val="22"/>
        </w:rPr>
      </w:pPr>
    </w:p>
    <w:p w:rsidR="00F8305F" w:rsidRPr="00F8305F" w:rsidRDefault="00F8305F" w:rsidP="00F8305F">
      <w:pPr>
        <w:autoSpaceDE w:val="0"/>
        <w:autoSpaceDN w:val="0"/>
        <w:adjustRightInd w:val="0"/>
        <w:rPr>
          <w:rFonts w:cs="Calibri"/>
          <w:szCs w:val="22"/>
        </w:rPr>
      </w:pPr>
    </w:p>
    <w:p w:rsidR="00CA0739" w:rsidRPr="00F8305F" w:rsidRDefault="00CA0739" w:rsidP="00CA0739">
      <w:pPr>
        <w:rPr>
          <w:b/>
          <w:szCs w:val="22"/>
        </w:rPr>
      </w:pPr>
    </w:p>
    <w:p w:rsidR="00F26D27" w:rsidRDefault="00F8305F" w:rsidP="00F26D27">
      <w:pPr>
        <w:rPr>
          <w:b/>
        </w:rPr>
      </w:pPr>
      <w:r>
        <w:rPr>
          <w:b/>
        </w:rPr>
        <w:t>4</w:t>
      </w:r>
      <w:r w:rsidR="004C0641" w:rsidRPr="005A45EC">
        <w:rPr>
          <w:b/>
        </w:rPr>
        <w:t xml:space="preserve">. </w:t>
      </w:r>
      <w:r w:rsidR="00C95861">
        <w:rPr>
          <w:b/>
        </w:rPr>
        <w:t>Outcomes/outputs</w:t>
      </w:r>
      <w:r w:rsidR="00C87829">
        <w:rPr>
          <w:b/>
        </w:rPr>
        <w:t xml:space="preserve"> </w:t>
      </w:r>
    </w:p>
    <w:p w:rsidR="0053562E" w:rsidRDefault="00F8305F" w:rsidP="0053562E">
      <w:pPr>
        <w:ind w:left="720" w:hanging="720"/>
        <w:rPr>
          <w:szCs w:val="22"/>
        </w:rPr>
      </w:pPr>
      <w:r>
        <w:rPr>
          <w:szCs w:val="22"/>
        </w:rPr>
        <w:t>4</w:t>
      </w:r>
      <w:r w:rsidR="00AC692A">
        <w:rPr>
          <w:szCs w:val="22"/>
        </w:rPr>
        <w:t>.1</w:t>
      </w:r>
      <w:r w:rsidR="00AC692A">
        <w:rPr>
          <w:szCs w:val="22"/>
        </w:rPr>
        <w:tab/>
      </w:r>
      <w:r w:rsidR="0053562E">
        <w:rPr>
          <w:szCs w:val="22"/>
        </w:rPr>
        <w:t>Once made, the</w:t>
      </w:r>
      <w:r w:rsidR="00C92969">
        <w:rPr>
          <w:szCs w:val="22"/>
        </w:rPr>
        <w:t xml:space="preserve"> </w:t>
      </w:r>
      <w:r w:rsidR="00E9434F">
        <w:rPr>
          <w:szCs w:val="22"/>
        </w:rPr>
        <w:t>Salcombe</w:t>
      </w:r>
      <w:r w:rsidR="0053562E">
        <w:rPr>
          <w:szCs w:val="22"/>
        </w:rPr>
        <w:t xml:space="preserve"> Neighbourhood Development Plan will become part of the Local Development Plan and will be used to help decide planning applications in the </w:t>
      </w:r>
      <w:r w:rsidR="00E9434F">
        <w:rPr>
          <w:szCs w:val="22"/>
        </w:rPr>
        <w:t>Salcombe</w:t>
      </w:r>
      <w:r w:rsidR="0053562E">
        <w:rPr>
          <w:szCs w:val="22"/>
        </w:rPr>
        <w:t xml:space="preserve"> area.</w:t>
      </w:r>
    </w:p>
    <w:p w:rsidR="00805601" w:rsidRPr="00F8305F" w:rsidRDefault="000C6616" w:rsidP="00F8305F">
      <w:pPr>
        <w:pStyle w:val="ListParagraph"/>
        <w:numPr>
          <w:ilvl w:val="1"/>
          <w:numId w:val="14"/>
        </w:numPr>
        <w:rPr>
          <w:szCs w:val="22"/>
        </w:rPr>
      </w:pPr>
      <w:r w:rsidRPr="00F8305F">
        <w:rPr>
          <w:szCs w:val="22"/>
        </w:rPr>
        <w:t>A successful outcome for this neighbourhood plan</w:t>
      </w:r>
      <w:r w:rsidR="0053562E" w:rsidRPr="00F8305F">
        <w:rPr>
          <w:szCs w:val="22"/>
        </w:rPr>
        <w:t xml:space="preserve"> will provide encouragement to the many other Parishes who are currently working on neighbourhood plans.</w:t>
      </w:r>
    </w:p>
    <w:p w:rsidR="009C5AE2" w:rsidRDefault="009C5AE2" w:rsidP="009036A2">
      <w:pPr>
        <w:rPr>
          <w:szCs w:val="22"/>
        </w:rPr>
      </w:pPr>
    </w:p>
    <w:p w:rsidR="00CA0739" w:rsidRDefault="00F8305F" w:rsidP="00CA0739">
      <w:r>
        <w:rPr>
          <w:b/>
        </w:rPr>
        <w:t>5</w:t>
      </w:r>
      <w:r w:rsidR="006C3670" w:rsidRPr="005A45EC">
        <w:rPr>
          <w:b/>
        </w:rPr>
        <w:t xml:space="preserve">. </w:t>
      </w:r>
      <w:r w:rsidR="00CA0739">
        <w:rPr>
          <w:b/>
        </w:rPr>
        <w:t>Options available</w:t>
      </w:r>
      <w:r w:rsidR="00DD1E12">
        <w:rPr>
          <w:b/>
        </w:rPr>
        <w:t xml:space="preserve"> and consideration of risk</w:t>
      </w:r>
      <w:r w:rsidR="00CA0739">
        <w:rPr>
          <w:b/>
        </w:rPr>
        <w:t xml:space="preserve"> </w:t>
      </w:r>
    </w:p>
    <w:p w:rsidR="00E37A74" w:rsidRDefault="00F8305F" w:rsidP="00E37A74">
      <w:pPr>
        <w:ind w:left="720" w:hanging="720"/>
      </w:pPr>
      <w:r>
        <w:t>5</w:t>
      </w:r>
      <w:r w:rsidR="00E37A74">
        <w:t xml:space="preserve">.1 </w:t>
      </w:r>
      <w:r w:rsidR="00E37A74">
        <w:tab/>
        <w:t xml:space="preserve">Neighbourhood Plans come into force as part of the Development Plan immediately following a successful referendum. Therefore the </w:t>
      </w:r>
      <w:r w:rsidR="00E9434F">
        <w:t>Salcombe</w:t>
      </w:r>
      <w:r w:rsidR="00E37A74">
        <w:t xml:space="preserve"> Neighbourhood Plan should now be used to decide planning applications.</w:t>
      </w:r>
    </w:p>
    <w:p w:rsidR="00CA0739" w:rsidRPr="00CA0739" w:rsidRDefault="00F8305F" w:rsidP="00E37A74">
      <w:pPr>
        <w:ind w:left="720" w:hanging="720"/>
      </w:pPr>
      <w:r>
        <w:t>5</w:t>
      </w:r>
      <w:r w:rsidR="00E37A74">
        <w:t>.2</w:t>
      </w:r>
      <w:r w:rsidR="00AC692A">
        <w:tab/>
      </w:r>
      <w:r w:rsidR="00E37A74">
        <w:t>However, i</w:t>
      </w:r>
      <w:r w:rsidR="00CA6CCB">
        <w:t xml:space="preserve">n order to comply with the relevant legislation, the Local Planning Authority must make a neighbourhood plan within the required timeframe following a </w:t>
      </w:r>
      <w:r w:rsidR="00E37A74">
        <w:t xml:space="preserve">successful </w:t>
      </w:r>
      <w:r w:rsidR="00CA6CCB">
        <w:t>referendum</w:t>
      </w:r>
      <w:r w:rsidR="00E37A74">
        <w:t>, unless a legal challenge has been brought in relation to the referendum or unless there are concerns about the compatibility of the neighbourhood plan with any EU or human rights legislation. In this instance there are no such concerns.</w:t>
      </w:r>
    </w:p>
    <w:p w:rsidR="00CA0739" w:rsidRDefault="00F8305F" w:rsidP="00E37A74">
      <w:pPr>
        <w:ind w:left="720" w:hanging="720"/>
      </w:pPr>
      <w:r>
        <w:t>5</w:t>
      </w:r>
      <w:r w:rsidR="00E37A74">
        <w:t>.3</w:t>
      </w:r>
      <w:r w:rsidR="00AC692A">
        <w:tab/>
      </w:r>
      <w:r w:rsidR="00E37A74">
        <w:t xml:space="preserve">Failure to make the </w:t>
      </w:r>
      <w:r w:rsidR="00E9434F">
        <w:t>Salcombe</w:t>
      </w:r>
      <w:r w:rsidR="00E37A74">
        <w:t xml:space="preserve"> Neighbourhood Plan within the required timeframe could open the Council to legal challenge.</w:t>
      </w:r>
    </w:p>
    <w:p w:rsidR="00CA0739" w:rsidRDefault="00CA0739" w:rsidP="005A45EC">
      <w:pPr>
        <w:rPr>
          <w:b/>
        </w:rPr>
      </w:pPr>
    </w:p>
    <w:p w:rsidR="008321C3" w:rsidRDefault="008321C3" w:rsidP="005A45EC">
      <w:pPr>
        <w:rPr>
          <w:b/>
        </w:rPr>
      </w:pPr>
    </w:p>
    <w:p w:rsidR="008321C3" w:rsidRDefault="008321C3" w:rsidP="005A45EC">
      <w:pPr>
        <w:rPr>
          <w:b/>
        </w:rPr>
      </w:pPr>
    </w:p>
    <w:p w:rsidR="008321C3" w:rsidRDefault="008321C3" w:rsidP="005A45EC">
      <w:pPr>
        <w:rPr>
          <w:b/>
        </w:rPr>
      </w:pPr>
    </w:p>
    <w:p w:rsidR="00F26D27" w:rsidRPr="00343AC8" w:rsidRDefault="00F8305F" w:rsidP="00CA0739">
      <w:pPr>
        <w:pStyle w:val="Default"/>
        <w:rPr>
          <w:b/>
          <w:sz w:val="22"/>
          <w:szCs w:val="22"/>
        </w:rPr>
      </w:pPr>
      <w:r>
        <w:rPr>
          <w:b/>
          <w:sz w:val="22"/>
          <w:szCs w:val="22"/>
        </w:rPr>
        <w:lastRenderedPageBreak/>
        <w:t>6</w:t>
      </w:r>
      <w:r w:rsidR="00D848A8" w:rsidRPr="00343AC8">
        <w:rPr>
          <w:b/>
          <w:sz w:val="22"/>
          <w:szCs w:val="22"/>
        </w:rPr>
        <w:t xml:space="preserve">. </w:t>
      </w:r>
      <w:r w:rsidR="00CA0739" w:rsidRPr="00343AC8">
        <w:rPr>
          <w:b/>
          <w:sz w:val="22"/>
          <w:szCs w:val="22"/>
        </w:rPr>
        <w:t xml:space="preserve"> Proposed Way Forward</w:t>
      </w:r>
      <w:r w:rsidR="00C87829">
        <w:rPr>
          <w:b/>
          <w:sz w:val="22"/>
          <w:szCs w:val="22"/>
        </w:rPr>
        <w:t xml:space="preserve"> </w:t>
      </w:r>
    </w:p>
    <w:p w:rsidR="00E616FF" w:rsidRDefault="00F8305F" w:rsidP="00E37A74">
      <w:pPr>
        <w:pStyle w:val="Default"/>
        <w:ind w:left="720" w:hanging="720"/>
        <w:rPr>
          <w:sz w:val="22"/>
          <w:szCs w:val="22"/>
        </w:rPr>
      </w:pPr>
      <w:r>
        <w:rPr>
          <w:sz w:val="22"/>
          <w:szCs w:val="22"/>
        </w:rPr>
        <w:t>6</w:t>
      </w:r>
      <w:r w:rsidR="00E37A74">
        <w:rPr>
          <w:sz w:val="22"/>
          <w:szCs w:val="22"/>
        </w:rPr>
        <w:t>.1</w:t>
      </w:r>
      <w:r w:rsidR="00E37A74">
        <w:rPr>
          <w:sz w:val="22"/>
          <w:szCs w:val="22"/>
        </w:rPr>
        <w:tab/>
        <w:t>It is recommended</w:t>
      </w:r>
      <w:r w:rsidR="00E616FF">
        <w:rPr>
          <w:sz w:val="22"/>
          <w:szCs w:val="22"/>
        </w:rPr>
        <w:t>:-</w:t>
      </w:r>
    </w:p>
    <w:p w:rsidR="00CA0739" w:rsidRDefault="00E616FF" w:rsidP="00E37A74">
      <w:pPr>
        <w:pStyle w:val="Default"/>
        <w:ind w:left="720" w:hanging="720"/>
        <w:rPr>
          <w:sz w:val="22"/>
          <w:szCs w:val="22"/>
        </w:rPr>
      </w:pPr>
      <w:r>
        <w:rPr>
          <w:sz w:val="22"/>
          <w:szCs w:val="22"/>
        </w:rPr>
        <w:t xml:space="preserve">         i)</w:t>
      </w:r>
      <w:r w:rsidR="00E37A74">
        <w:rPr>
          <w:sz w:val="22"/>
          <w:szCs w:val="22"/>
        </w:rPr>
        <w:t xml:space="preserve"> that Executive app</w:t>
      </w:r>
      <w:r w:rsidR="00C92969">
        <w:rPr>
          <w:sz w:val="22"/>
          <w:szCs w:val="22"/>
        </w:rPr>
        <w:t xml:space="preserve">rove the making of the </w:t>
      </w:r>
      <w:r w:rsidR="00E9434F">
        <w:rPr>
          <w:sz w:val="22"/>
          <w:szCs w:val="22"/>
        </w:rPr>
        <w:t>Salcombe</w:t>
      </w:r>
      <w:r w:rsidR="00E37A74">
        <w:rPr>
          <w:sz w:val="22"/>
          <w:szCs w:val="22"/>
        </w:rPr>
        <w:t xml:space="preserve"> Neighbourhood Development Plan.</w:t>
      </w:r>
    </w:p>
    <w:p w:rsidR="00E616FF" w:rsidRPr="00CA0739" w:rsidRDefault="00E616FF" w:rsidP="00E37A74">
      <w:pPr>
        <w:pStyle w:val="Default"/>
        <w:ind w:left="720" w:hanging="720"/>
        <w:rPr>
          <w:sz w:val="22"/>
          <w:szCs w:val="22"/>
        </w:rPr>
      </w:pPr>
      <w:r>
        <w:rPr>
          <w:sz w:val="22"/>
          <w:szCs w:val="22"/>
        </w:rPr>
        <w:t xml:space="preserve">         ii) That the Executive agree the minor modification requested by the Salcombe NPG set out in paragraph 3.2 of this report.</w:t>
      </w:r>
    </w:p>
    <w:p w:rsidR="00CA0739" w:rsidRDefault="00CA0739" w:rsidP="00C92941">
      <w:pPr>
        <w:pStyle w:val="Default"/>
        <w:rPr>
          <w:sz w:val="22"/>
          <w:szCs w:val="22"/>
        </w:rPr>
      </w:pPr>
    </w:p>
    <w:p w:rsidR="00F26D27" w:rsidRDefault="00F8305F" w:rsidP="00C92941">
      <w:pPr>
        <w:pStyle w:val="Default"/>
        <w:rPr>
          <w:b/>
          <w:sz w:val="22"/>
          <w:szCs w:val="22"/>
        </w:rPr>
      </w:pPr>
      <w:r>
        <w:rPr>
          <w:b/>
          <w:sz w:val="22"/>
          <w:szCs w:val="22"/>
        </w:rPr>
        <w:t>7</w:t>
      </w:r>
      <w:r w:rsidR="00F26D27">
        <w:rPr>
          <w:b/>
          <w:sz w:val="22"/>
          <w:szCs w:val="22"/>
        </w:rPr>
        <w:t>. Implications</w:t>
      </w:r>
      <w:r w:rsidR="00343AC8">
        <w:rPr>
          <w:b/>
          <w:sz w:val="22"/>
          <w:szCs w:val="22"/>
        </w:rPr>
        <w:t xml:space="preserve"> </w:t>
      </w:r>
    </w:p>
    <w:p w:rsidR="00F26D27" w:rsidRPr="00F26D27" w:rsidRDefault="00F26D27" w:rsidP="00C92941">
      <w:pPr>
        <w:pStyle w:val="Default"/>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1273"/>
        <w:gridCol w:w="5976"/>
      </w:tblGrid>
      <w:tr w:rsidR="00CB5E6E" w:rsidRPr="00CF08D6" w:rsidTr="00D87EA0">
        <w:tc>
          <w:tcPr>
            <w:tcW w:w="2215" w:type="dxa"/>
          </w:tcPr>
          <w:p w:rsidR="00CB5E6E" w:rsidRPr="00CF08D6" w:rsidRDefault="00CB5E6E" w:rsidP="00C92941">
            <w:pPr>
              <w:pStyle w:val="Default"/>
              <w:rPr>
                <w:sz w:val="22"/>
                <w:szCs w:val="22"/>
              </w:rPr>
            </w:pPr>
            <w:r w:rsidRPr="00CF08D6">
              <w:rPr>
                <w:sz w:val="22"/>
                <w:szCs w:val="22"/>
              </w:rPr>
              <w:t>Implications</w:t>
            </w:r>
          </w:p>
          <w:p w:rsidR="00CB5E6E" w:rsidRPr="00CF08D6" w:rsidRDefault="00CB5E6E" w:rsidP="00C92941">
            <w:pPr>
              <w:pStyle w:val="Default"/>
              <w:rPr>
                <w:sz w:val="22"/>
                <w:szCs w:val="22"/>
              </w:rPr>
            </w:pPr>
          </w:p>
        </w:tc>
        <w:tc>
          <w:tcPr>
            <w:tcW w:w="1273" w:type="dxa"/>
          </w:tcPr>
          <w:p w:rsidR="00CB5E6E" w:rsidRPr="00CF08D6" w:rsidRDefault="005D227A" w:rsidP="00C92941">
            <w:pPr>
              <w:pStyle w:val="Default"/>
              <w:rPr>
                <w:sz w:val="22"/>
                <w:szCs w:val="22"/>
              </w:rPr>
            </w:pPr>
            <w:r w:rsidRPr="00CF08D6">
              <w:rPr>
                <w:sz w:val="22"/>
                <w:szCs w:val="22"/>
              </w:rPr>
              <w:t xml:space="preserve">Relevant </w:t>
            </w:r>
            <w:r w:rsidR="00F26D27" w:rsidRPr="00CF08D6">
              <w:rPr>
                <w:sz w:val="22"/>
                <w:szCs w:val="22"/>
              </w:rPr>
              <w:br/>
            </w:r>
            <w:r w:rsidRPr="00CF08D6">
              <w:rPr>
                <w:sz w:val="22"/>
                <w:szCs w:val="22"/>
              </w:rPr>
              <w:t xml:space="preserve">to </w:t>
            </w:r>
            <w:r w:rsidRPr="00CF08D6">
              <w:rPr>
                <w:sz w:val="22"/>
                <w:szCs w:val="22"/>
              </w:rPr>
              <w:br/>
            </w:r>
            <w:r w:rsidR="008E755C" w:rsidRPr="00CF08D6">
              <w:rPr>
                <w:sz w:val="22"/>
                <w:szCs w:val="22"/>
              </w:rPr>
              <w:t>p</w:t>
            </w:r>
            <w:r w:rsidRPr="00CF08D6">
              <w:rPr>
                <w:sz w:val="22"/>
                <w:szCs w:val="22"/>
              </w:rPr>
              <w:t xml:space="preserve">roposals </w:t>
            </w:r>
            <w:r w:rsidR="00F26D27" w:rsidRPr="00CF08D6">
              <w:rPr>
                <w:sz w:val="22"/>
                <w:szCs w:val="22"/>
              </w:rPr>
              <w:br/>
            </w:r>
            <w:r w:rsidRPr="00CF08D6">
              <w:rPr>
                <w:sz w:val="22"/>
                <w:szCs w:val="22"/>
              </w:rPr>
              <w:t>Y/N</w:t>
            </w:r>
            <w:r w:rsidR="00CE5FEE" w:rsidRPr="00CF08D6">
              <w:rPr>
                <w:sz w:val="22"/>
                <w:szCs w:val="22"/>
              </w:rPr>
              <w:t xml:space="preserve"> </w:t>
            </w:r>
          </w:p>
        </w:tc>
        <w:tc>
          <w:tcPr>
            <w:tcW w:w="5976" w:type="dxa"/>
          </w:tcPr>
          <w:p w:rsidR="00CB5E6E" w:rsidRPr="00CF08D6" w:rsidRDefault="005D227A" w:rsidP="00B411AE">
            <w:pPr>
              <w:pStyle w:val="Default"/>
              <w:rPr>
                <w:sz w:val="22"/>
                <w:szCs w:val="22"/>
              </w:rPr>
            </w:pPr>
            <w:r w:rsidRPr="00CF08D6">
              <w:rPr>
                <w:sz w:val="22"/>
                <w:szCs w:val="22"/>
              </w:rPr>
              <w:t xml:space="preserve">Details and </w:t>
            </w:r>
            <w:r w:rsidR="008E755C" w:rsidRPr="00CF08D6">
              <w:rPr>
                <w:sz w:val="22"/>
                <w:szCs w:val="22"/>
              </w:rPr>
              <w:t>p</w:t>
            </w:r>
            <w:r w:rsidRPr="00CF08D6">
              <w:rPr>
                <w:sz w:val="22"/>
                <w:szCs w:val="22"/>
              </w:rPr>
              <w:t xml:space="preserve">roposed </w:t>
            </w:r>
            <w:r w:rsidR="008E755C" w:rsidRPr="00CF08D6">
              <w:rPr>
                <w:sz w:val="22"/>
                <w:szCs w:val="22"/>
              </w:rPr>
              <w:t>m</w:t>
            </w:r>
            <w:r w:rsidRPr="00CF08D6">
              <w:rPr>
                <w:sz w:val="22"/>
                <w:szCs w:val="22"/>
              </w:rPr>
              <w:t xml:space="preserve">easures to </w:t>
            </w:r>
            <w:r w:rsidR="008E755C" w:rsidRPr="00CF08D6">
              <w:rPr>
                <w:sz w:val="22"/>
                <w:szCs w:val="22"/>
              </w:rPr>
              <w:t>a</w:t>
            </w:r>
            <w:r w:rsidRPr="00CF08D6">
              <w:rPr>
                <w:sz w:val="22"/>
                <w:szCs w:val="22"/>
              </w:rPr>
              <w:t>ddress</w:t>
            </w:r>
            <w:r w:rsidR="00B411AE">
              <w:rPr>
                <w:sz w:val="22"/>
                <w:szCs w:val="22"/>
              </w:rPr>
              <w:t xml:space="preserve"> </w:t>
            </w:r>
          </w:p>
        </w:tc>
      </w:tr>
      <w:tr w:rsidR="00CB5E6E" w:rsidRPr="00CF08D6" w:rsidTr="00D87EA0">
        <w:tc>
          <w:tcPr>
            <w:tcW w:w="2215" w:type="dxa"/>
          </w:tcPr>
          <w:p w:rsidR="00CB5E6E" w:rsidRPr="00CF08D6" w:rsidRDefault="00CB5E6E" w:rsidP="00C92941">
            <w:pPr>
              <w:pStyle w:val="Default"/>
              <w:rPr>
                <w:sz w:val="22"/>
                <w:szCs w:val="22"/>
              </w:rPr>
            </w:pPr>
            <w:r w:rsidRPr="00CF08D6">
              <w:rPr>
                <w:sz w:val="22"/>
                <w:szCs w:val="22"/>
              </w:rPr>
              <w:t>Legal</w:t>
            </w:r>
            <w:r w:rsidR="003F48A7" w:rsidRPr="00CF08D6">
              <w:rPr>
                <w:sz w:val="22"/>
                <w:szCs w:val="22"/>
              </w:rPr>
              <w:t>/Governance</w:t>
            </w:r>
          </w:p>
          <w:p w:rsidR="00CB5E6E" w:rsidRPr="00CF08D6" w:rsidRDefault="00CB5E6E" w:rsidP="00C92941">
            <w:pPr>
              <w:pStyle w:val="Default"/>
              <w:rPr>
                <w:sz w:val="22"/>
                <w:szCs w:val="22"/>
              </w:rPr>
            </w:pPr>
          </w:p>
        </w:tc>
        <w:tc>
          <w:tcPr>
            <w:tcW w:w="1273" w:type="dxa"/>
          </w:tcPr>
          <w:p w:rsidR="00CB5E6E" w:rsidRPr="00CF08D6" w:rsidRDefault="00CB5E6E" w:rsidP="00C92941">
            <w:pPr>
              <w:pStyle w:val="Default"/>
              <w:rPr>
                <w:sz w:val="22"/>
                <w:szCs w:val="22"/>
              </w:rPr>
            </w:pPr>
          </w:p>
        </w:tc>
        <w:tc>
          <w:tcPr>
            <w:tcW w:w="5976" w:type="dxa"/>
          </w:tcPr>
          <w:p w:rsidR="002872B0" w:rsidRPr="00CF08D6" w:rsidRDefault="008F528F" w:rsidP="008F528F">
            <w:pPr>
              <w:pStyle w:val="Default"/>
              <w:rPr>
                <w:sz w:val="22"/>
                <w:szCs w:val="22"/>
              </w:rPr>
            </w:pPr>
            <w:r>
              <w:rPr>
                <w:sz w:val="22"/>
                <w:szCs w:val="22"/>
              </w:rPr>
              <w:t>National Planning Guidance states that t</w:t>
            </w:r>
            <w:r w:rsidR="006B52C1">
              <w:rPr>
                <w:sz w:val="22"/>
                <w:szCs w:val="22"/>
              </w:rPr>
              <w:t xml:space="preserve">he Executive is responsible for making decisions on </w:t>
            </w:r>
            <w:r>
              <w:rPr>
                <w:sz w:val="22"/>
                <w:szCs w:val="22"/>
              </w:rPr>
              <w:t>Neighbourhood plannin</w:t>
            </w:r>
            <w:r w:rsidR="008321C3">
              <w:rPr>
                <w:sz w:val="22"/>
                <w:szCs w:val="22"/>
              </w:rPr>
              <w:t>g (unless the Executive has dele</w:t>
            </w:r>
            <w:r>
              <w:rPr>
                <w:sz w:val="22"/>
                <w:szCs w:val="22"/>
              </w:rPr>
              <w:t>gated the function to a sub-committee or Officer)</w:t>
            </w:r>
            <w:r w:rsidR="006B52C1">
              <w:rPr>
                <w:sz w:val="22"/>
                <w:szCs w:val="22"/>
              </w:rPr>
              <w:t xml:space="preserve"> </w:t>
            </w:r>
            <w:r w:rsidR="00AB49BC">
              <w:rPr>
                <w:sz w:val="22"/>
                <w:szCs w:val="22"/>
              </w:rPr>
              <w:t xml:space="preserve">As set out in section 4, South Hams District Council is legally obliged to make the </w:t>
            </w:r>
            <w:r w:rsidR="00E9434F">
              <w:rPr>
                <w:sz w:val="22"/>
                <w:szCs w:val="22"/>
              </w:rPr>
              <w:t>Salcombe</w:t>
            </w:r>
            <w:r w:rsidR="00AB49BC">
              <w:rPr>
                <w:sz w:val="22"/>
                <w:szCs w:val="22"/>
              </w:rPr>
              <w:t xml:space="preserve"> Neighbourhood Development Plan.</w:t>
            </w:r>
          </w:p>
        </w:tc>
      </w:tr>
      <w:tr w:rsidR="00CB5E6E" w:rsidRPr="00CF08D6" w:rsidTr="00D87EA0">
        <w:tc>
          <w:tcPr>
            <w:tcW w:w="2215" w:type="dxa"/>
          </w:tcPr>
          <w:p w:rsidR="00CB5E6E" w:rsidRPr="00CF08D6" w:rsidRDefault="00CB5E6E" w:rsidP="00C92941">
            <w:pPr>
              <w:pStyle w:val="Default"/>
              <w:rPr>
                <w:sz w:val="22"/>
                <w:szCs w:val="22"/>
              </w:rPr>
            </w:pPr>
            <w:r w:rsidRPr="00CF08D6">
              <w:rPr>
                <w:sz w:val="22"/>
                <w:szCs w:val="22"/>
              </w:rPr>
              <w:t>Financial</w:t>
            </w:r>
          </w:p>
          <w:p w:rsidR="00CB5E6E" w:rsidRPr="00CF08D6" w:rsidRDefault="00CB5E6E" w:rsidP="00C92941">
            <w:pPr>
              <w:pStyle w:val="Default"/>
              <w:rPr>
                <w:sz w:val="22"/>
                <w:szCs w:val="22"/>
              </w:rPr>
            </w:pPr>
          </w:p>
        </w:tc>
        <w:tc>
          <w:tcPr>
            <w:tcW w:w="1273" w:type="dxa"/>
          </w:tcPr>
          <w:p w:rsidR="00CB5E6E" w:rsidRPr="00CF08D6" w:rsidRDefault="00CB5E6E" w:rsidP="00C92941">
            <w:pPr>
              <w:pStyle w:val="Default"/>
              <w:rPr>
                <w:sz w:val="22"/>
                <w:szCs w:val="22"/>
              </w:rPr>
            </w:pPr>
          </w:p>
        </w:tc>
        <w:tc>
          <w:tcPr>
            <w:tcW w:w="5976" w:type="dxa"/>
          </w:tcPr>
          <w:p w:rsidR="00F752C3" w:rsidRPr="00CF08D6" w:rsidRDefault="00AB49BC" w:rsidP="00AB49BC">
            <w:pPr>
              <w:pStyle w:val="default0"/>
              <w:rPr>
                <w:sz w:val="22"/>
                <w:szCs w:val="22"/>
              </w:rPr>
            </w:pPr>
            <w:r>
              <w:rPr>
                <w:sz w:val="22"/>
                <w:szCs w:val="22"/>
              </w:rPr>
              <w:t>There are no financial implications.</w:t>
            </w:r>
          </w:p>
        </w:tc>
      </w:tr>
      <w:tr w:rsidR="00476BE1" w:rsidRPr="00CF08D6" w:rsidTr="00D87EA0">
        <w:tc>
          <w:tcPr>
            <w:tcW w:w="2215" w:type="dxa"/>
          </w:tcPr>
          <w:p w:rsidR="00476BE1" w:rsidRPr="00CF08D6" w:rsidRDefault="00476BE1" w:rsidP="00C92941">
            <w:pPr>
              <w:pStyle w:val="Default"/>
              <w:rPr>
                <w:sz w:val="22"/>
                <w:szCs w:val="22"/>
              </w:rPr>
            </w:pPr>
            <w:r w:rsidRPr="00CF08D6">
              <w:rPr>
                <w:sz w:val="22"/>
                <w:szCs w:val="22"/>
              </w:rPr>
              <w:t>Risk</w:t>
            </w:r>
          </w:p>
        </w:tc>
        <w:tc>
          <w:tcPr>
            <w:tcW w:w="1273" w:type="dxa"/>
          </w:tcPr>
          <w:p w:rsidR="00476BE1" w:rsidRPr="00CF08D6" w:rsidRDefault="00476BE1" w:rsidP="00C92941">
            <w:pPr>
              <w:pStyle w:val="Default"/>
              <w:rPr>
                <w:sz w:val="22"/>
                <w:szCs w:val="22"/>
              </w:rPr>
            </w:pPr>
          </w:p>
        </w:tc>
        <w:tc>
          <w:tcPr>
            <w:tcW w:w="5976" w:type="dxa"/>
          </w:tcPr>
          <w:p w:rsidR="00476BE1" w:rsidRPr="00CF08D6" w:rsidRDefault="00AB49BC" w:rsidP="009C0BB4">
            <w:pPr>
              <w:pStyle w:val="default0"/>
              <w:rPr>
                <w:sz w:val="22"/>
                <w:szCs w:val="22"/>
              </w:rPr>
            </w:pPr>
            <w:r>
              <w:rPr>
                <w:sz w:val="22"/>
                <w:szCs w:val="22"/>
              </w:rPr>
              <w:t>There is a risk of legal challenge if the Neighbourhood Plan is not made within the required timeframe.</w:t>
            </w:r>
          </w:p>
        </w:tc>
      </w:tr>
      <w:tr w:rsidR="00243938" w:rsidRPr="00CF08D6" w:rsidTr="00D87EA0">
        <w:tc>
          <w:tcPr>
            <w:tcW w:w="9464" w:type="dxa"/>
            <w:gridSpan w:val="3"/>
          </w:tcPr>
          <w:p w:rsidR="00243938" w:rsidRPr="00CF08D6" w:rsidRDefault="00243938" w:rsidP="00CE540D">
            <w:pPr>
              <w:pStyle w:val="Default"/>
              <w:rPr>
                <w:sz w:val="22"/>
                <w:szCs w:val="22"/>
              </w:rPr>
            </w:pPr>
            <w:r w:rsidRPr="00CF08D6">
              <w:rPr>
                <w:sz w:val="22"/>
                <w:szCs w:val="22"/>
              </w:rPr>
              <w:t>Comprehensive Impact Assessment Implications</w:t>
            </w:r>
          </w:p>
          <w:p w:rsidR="00243938" w:rsidRPr="00CF08D6" w:rsidRDefault="00243938" w:rsidP="00CE540D">
            <w:pPr>
              <w:pStyle w:val="Default"/>
              <w:rPr>
                <w:sz w:val="22"/>
                <w:szCs w:val="22"/>
              </w:rPr>
            </w:pPr>
          </w:p>
        </w:tc>
      </w:tr>
      <w:tr w:rsidR="00CB5E6E" w:rsidRPr="00CF08D6" w:rsidTr="00D87EA0">
        <w:tc>
          <w:tcPr>
            <w:tcW w:w="2215" w:type="dxa"/>
          </w:tcPr>
          <w:p w:rsidR="00CB5E6E" w:rsidRPr="00CF08D6" w:rsidRDefault="00CB5E6E" w:rsidP="00C92941">
            <w:pPr>
              <w:pStyle w:val="Default"/>
              <w:rPr>
                <w:sz w:val="22"/>
                <w:szCs w:val="22"/>
              </w:rPr>
            </w:pPr>
            <w:r w:rsidRPr="00CF08D6">
              <w:rPr>
                <w:sz w:val="22"/>
                <w:szCs w:val="22"/>
              </w:rPr>
              <w:t>Equality and Diversity</w:t>
            </w:r>
          </w:p>
          <w:p w:rsidR="00CB5E6E" w:rsidRPr="00CF08D6" w:rsidRDefault="00CB5E6E" w:rsidP="00C92941">
            <w:pPr>
              <w:pStyle w:val="Default"/>
              <w:rPr>
                <w:sz w:val="22"/>
                <w:szCs w:val="22"/>
              </w:rPr>
            </w:pPr>
          </w:p>
        </w:tc>
        <w:tc>
          <w:tcPr>
            <w:tcW w:w="1273" w:type="dxa"/>
          </w:tcPr>
          <w:p w:rsidR="00CB5E6E" w:rsidRPr="00CF08D6" w:rsidRDefault="00CB5E6E" w:rsidP="00C92941">
            <w:pPr>
              <w:pStyle w:val="Default"/>
              <w:rPr>
                <w:sz w:val="22"/>
                <w:szCs w:val="22"/>
              </w:rPr>
            </w:pPr>
          </w:p>
        </w:tc>
        <w:tc>
          <w:tcPr>
            <w:tcW w:w="5976" w:type="dxa"/>
          </w:tcPr>
          <w:p w:rsidR="00AD3D11" w:rsidRPr="00CF08D6" w:rsidRDefault="00AB49BC" w:rsidP="00D87EA0">
            <w:pPr>
              <w:pStyle w:val="Default"/>
              <w:rPr>
                <w:sz w:val="22"/>
                <w:szCs w:val="22"/>
              </w:rPr>
            </w:pPr>
            <w:r>
              <w:rPr>
                <w:sz w:val="22"/>
                <w:szCs w:val="22"/>
              </w:rPr>
              <w:t>The Neighbourhood Plan has assessed Equality and Diversity implications as part of its background evidence.</w:t>
            </w:r>
          </w:p>
        </w:tc>
      </w:tr>
      <w:tr w:rsidR="00CB5E6E" w:rsidRPr="00CF08D6" w:rsidTr="00D87EA0">
        <w:tc>
          <w:tcPr>
            <w:tcW w:w="2215" w:type="dxa"/>
          </w:tcPr>
          <w:p w:rsidR="00CB5E6E" w:rsidRPr="00CF08D6" w:rsidRDefault="00CB5E6E" w:rsidP="00C92941">
            <w:pPr>
              <w:pStyle w:val="Default"/>
              <w:rPr>
                <w:sz w:val="22"/>
                <w:szCs w:val="22"/>
              </w:rPr>
            </w:pPr>
            <w:r w:rsidRPr="00CF08D6">
              <w:rPr>
                <w:sz w:val="22"/>
                <w:szCs w:val="22"/>
              </w:rPr>
              <w:t>Safeguarding</w:t>
            </w:r>
          </w:p>
          <w:p w:rsidR="00CB5E6E" w:rsidRPr="00CF08D6" w:rsidRDefault="00CB5E6E" w:rsidP="00C92941">
            <w:pPr>
              <w:pStyle w:val="Default"/>
              <w:rPr>
                <w:sz w:val="22"/>
                <w:szCs w:val="22"/>
              </w:rPr>
            </w:pPr>
          </w:p>
        </w:tc>
        <w:tc>
          <w:tcPr>
            <w:tcW w:w="1273" w:type="dxa"/>
          </w:tcPr>
          <w:p w:rsidR="00CB5E6E" w:rsidRPr="00CF08D6" w:rsidRDefault="00CB5E6E" w:rsidP="00C92941">
            <w:pPr>
              <w:pStyle w:val="Default"/>
              <w:rPr>
                <w:sz w:val="22"/>
                <w:szCs w:val="22"/>
              </w:rPr>
            </w:pPr>
          </w:p>
        </w:tc>
        <w:tc>
          <w:tcPr>
            <w:tcW w:w="5976" w:type="dxa"/>
          </w:tcPr>
          <w:p w:rsidR="00A232DF" w:rsidRPr="00CF08D6" w:rsidRDefault="00AB49BC" w:rsidP="00D87EA0">
            <w:pPr>
              <w:pStyle w:val="Default"/>
              <w:rPr>
                <w:sz w:val="22"/>
                <w:szCs w:val="22"/>
              </w:rPr>
            </w:pPr>
            <w:r>
              <w:rPr>
                <w:sz w:val="22"/>
                <w:szCs w:val="22"/>
              </w:rPr>
              <w:t>None.</w:t>
            </w:r>
          </w:p>
        </w:tc>
      </w:tr>
      <w:tr w:rsidR="00CB5E6E" w:rsidRPr="00CF08D6" w:rsidTr="00D87EA0">
        <w:tc>
          <w:tcPr>
            <w:tcW w:w="2215" w:type="dxa"/>
          </w:tcPr>
          <w:p w:rsidR="00CB5E6E" w:rsidRPr="00CF08D6" w:rsidRDefault="00CB5E6E" w:rsidP="00C92941">
            <w:pPr>
              <w:pStyle w:val="Default"/>
              <w:rPr>
                <w:sz w:val="22"/>
                <w:szCs w:val="22"/>
              </w:rPr>
            </w:pPr>
            <w:r w:rsidRPr="00CF08D6">
              <w:rPr>
                <w:sz w:val="22"/>
                <w:szCs w:val="22"/>
              </w:rPr>
              <w:t>Community Safety, Crime and Disorder</w:t>
            </w:r>
          </w:p>
          <w:p w:rsidR="00CB5E6E" w:rsidRPr="00CF08D6" w:rsidRDefault="00CB5E6E" w:rsidP="00C92941">
            <w:pPr>
              <w:pStyle w:val="Default"/>
              <w:rPr>
                <w:sz w:val="22"/>
                <w:szCs w:val="22"/>
              </w:rPr>
            </w:pPr>
          </w:p>
        </w:tc>
        <w:tc>
          <w:tcPr>
            <w:tcW w:w="1273" w:type="dxa"/>
          </w:tcPr>
          <w:p w:rsidR="00CB5E6E" w:rsidRPr="00CF08D6" w:rsidRDefault="00CB5E6E" w:rsidP="00C92941">
            <w:pPr>
              <w:pStyle w:val="Default"/>
              <w:rPr>
                <w:sz w:val="22"/>
                <w:szCs w:val="22"/>
              </w:rPr>
            </w:pPr>
          </w:p>
        </w:tc>
        <w:tc>
          <w:tcPr>
            <w:tcW w:w="5976" w:type="dxa"/>
          </w:tcPr>
          <w:p w:rsidR="00302FD4" w:rsidRPr="00CF08D6" w:rsidRDefault="00AB49BC" w:rsidP="00AB49BC">
            <w:pPr>
              <w:pStyle w:val="Default"/>
              <w:rPr>
                <w:sz w:val="22"/>
                <w:szCs w:val="22"/>
              </w:rPr>
            </w:pPr>
            <w:r>
              <w:rPr>
                <w:sz w:val="22"/>
                <w:szCs w:val="22"/>
              </w:rPr>
              <w:t>No direct implications.</w:t>
            </w:r>
          </w:p>
          <w:p w:rsidR="00302FD4" w:rsidRPr="00CF08D6" w:rsidRDefault="00302FD4" w:rsidP="009A6062">
            <w:pPr>
              <w:pStyle w:val="Default"/>
              <w:rPr>
                <w:sz w:val="22"/>
                <w:szCs w:val="22"/>
              </w:rPr>
            </w:pPr>
          </w:p>
          <w:p w:rsidR="00F068FE" w:rsidRPr="00CF08D6" w:rsidRDefault="00F068FE" w:rsidP="00D87EA0">
            <w:pPr>
              <w:pStyle w:val="Default"/>
              <w:rPr>
                <w:sz w:val="22"/>
                <w:szCs w:val="22"/>
              </w:rPr>
            </w:pPr>
          </w:p>
        </w:tc>
      </w:tr>
      <w:tr w:rsidR="00CB5E6E" w:rsidRPr="00CF08D6" w:rsidTr="00D87EA0">
        <w:tc>
          <w:tcPr>
            <w:tcW w:w="2215" w:type="dxa"/>
          </w:tcPr>
          <w:p w:rsidR="00CB5E6E" w:rsidRPr="00CF08D6" w:rsidRDefault="005D227A" w:rsidP="00C92941">
            <w:pPr>
              <w:pStyle w:val="Default"/>
              <w:rPr>
                <w:sz w:val="22"/>
                <w:szCs w:val="22"/>
              </w:rPr>
            </w:pPr>
            <w:r w:rsidRPr="00CF08D6">
              <w:rPr>
                <w:sz w:val="22"/>
                <w:szCs w:val="22"/>
              </w:rPr>
              <w:t>Health, Safety and Wellbeing</w:t>
            </w:r>
          </w:p>
        </w:tc>
        <w:tc>
          <w:tcPr>
            <w:tcW w:w="1273" w:type="dxa"/>
          </w:tcPr>
          <w:p w:rsidR="00CB5E6E" w:rsidRPr="00CF08D6" w:rsidRDefault="00CB5E6E" w:rsidP="00C92941">
            <w:pPr>
              <w:pStyle w:val="Default"/>
              <w:rPr>
                <w:sz w:val="22"/>
                <w:szCs w:val="22"/>
              </w:rPr>
            </w:pPr>
          </w:p>
        </w:tc>
        <w:tc>
          <w:tcPr>
            <w:tcW w:w="5976" w:type="dxa"/>
          </w:tcPr>
          <w:p w:rsidR="00C30B09" w:rsidRPr="00CF08D6" w:rsidRDefault="00AB49BC" w:rsidP="00D87EA0">
            <w:pPr>
              <w:rPr>
                <w:szCs w:val="22"/>
              </w:rPr>
            </w:pPr>
            <w:r>
              <w:rPr>
                <w:szCs w:val="22"/>
              </w:rPr>
              <w:t>Positi</w:t>
            </w:r>
            <w:r w:rsidR="00AA265A">
              <w:rPr>
                <w:szCs w:val="22"/>
              </w:rPr>
              <w:t>ve outcomes are anticipated fro</w:t>
            </w:r>
            <w:r>
              <w:rPr>
                <w:szCs w:val="22"/>
              </w:rPr>
              <w:t>m the making of the Neighbourhood Plan.</w:t>
            </w:r>
          </w:p>
        </w:tc>
      </w:tr>
      <w:tr w:rsidR="00F752C3" w:rsidRPr="00CF08D6" w:rsidTr="00D87EA0">
        <w:tc>
          <w:tcPr>
            <w:tcW w:w="2215" w:type="dxa"/>
          </w:tcPr>
          <w:p w:rsidR="00F752C3" w:rsidRPr="00CF08D6" w:rsidRDefault="00F752C3" w:rsidP="00C92941">
            <w:pPr>
              <w:pStyle w:val="Default"/>
              <w:rPr>
                <w:sz w:val="22"/>
                <w:szCs w:val="22"/>
              </w:rPr>
            </w:pPr>
            <w:r w:rsidRPr="00CF08D6">
              <w:rPr>
                <w:sz w:val="22"/>
                <w:szCs w:val="22"/>
              </w:rPr>
              <w:t>Other</w:t>
            </w:r>
            <w:r w:rsidR="00243938" w:rsidRPr="00CF08D6">
              <w:rPr>
                <w:sz w:val="22"/>
                <w:szCs w:val="22"/>
              </w:rPr>
              <w:t xml:space="preserve"> implications</w:t>
            </w:r>
          </w:p>
        </w:tc>
        <w:tc>
          <w:tcPr>
            <w:tcW w:w="1273" w:type="dxa"/>
          </w:tcPr>
          <w:p w:rsidR="00F752C3" w:rsidRPr="00CF08D6" w:rsidRDefault="00F752C3" w:rsidP="00C92941">
            <w:pPr>
              <w:pStyle w:val="Default"/>
              <w:rPr>
                <w:sz w:val="22"/>
                <w:szCs w:val="22"/>
              </w:rPr>
            </w:pPr>
          </w:p>
        </w:tc>
        <w:tc>
          <w:tcPr>
            <w:tcW w:w="5976" w:type="dxa"/>
          </w:tcPr>
          <w:p w:rsidR="007F3EEB" w:rsidRPr="00CF08D6" w:rsidRDefault="007F3EEB" w:rsidP="000657B5">
            <w:pPr>
              <w:pStyle w:val="Default"/>
              <w:rPr>
                <w:sz w:val="22"/>
                <w:szCs w:val="22"/>
              </w:rPr>
            </w:pPr>
          </w:p>
          <w:p w:rsidR="000657B5" w:rsidRPr="00CF08D6" w:rsidRDefault="00AB49BC" w:rsidP="00D87EA0">
            <w:pPr>
              <w:pStyle w:val="Default"/>
              <w:rPr>
                <w:sz w:val="22"/>
                <w:szCs w:val="22"/>
              </w:rPr>
            </w:pPr>
            <w:r>
              <w:rPr>
                <w:sz w:val="22"/>
                <w:szCs w:val="22"/>
              </w:rPr>
              <w:t>Non</w:t>
            </w:r>
            <w:r w:rsidR="00AA265A">
              <w:rPr>
                <w:sz w:val="22"/>
                <w:szCs w:val="22"/>
              </w:rPr>
              <w:t>e</w:t>
            </w:r>
          </w:p>
        </w:tc>
      </w:tr>
    </w:tbl>
    <w:p w:rsidR="009A6062" w:rsidRDefault="009A6062" w:rsidP="00793DA2">
      <w:pPr>
        <w:pStyle w:val="Default"/>
        <w:rPr>
          <w:b/>
          <w:sz w:val="22"/>
          <w:szCs w:val="22"/>
          <w:u w:val="single"/>
        </w:rPr>
      </w:pPr>
    </w:p>
    <w:p w:rsidR="002941B6" w:rsidRDefault="002941B6" w:rsidP="00793DA2">
      <w:pPr>
        <w:pStyle w:val="Default"/>
        <w:rPr>
          <w:b/>
          <w:sz w:val="22"/>
          <w:szCs w:val="22"/>
          <w:u w:val="single"/>
        </w:rPr>
      </w:pPr>
    </w:p>
    <w:p w:rsidR="00793DA2" w:rsidRPr="009F7273" w:rsidRDefault="00793DA2" w:rsidP="00793DA2">
      <w:pPr>
        <w:pStyle w:val="Default"/>
        <w:rPr>
          <w:b/>
          <w:sz w:val="22"/>
          <w:szCs w:val="22"/>
          <w:u w:val="single"/>
        </w:rPr>
      </w:pPr>
      <w:r w:rsidRPr="009F7273">
        <w:rPr>
          <w:b/>
          <w:sz w:val="22"/>
          <w:szCs w:val="22"/>
          <w:u w:val="single"/>
        </w:rPr>
        <w:t>Supporting Information</w:t>
      </w:r>
    </w:p>
    <w:p w:rsidR="00793DA2" w:rsidRPr="00E45E7D" w:rsidRDefault="00793DA2" w:rsidP="00793DA2">
      <w:pPr>
        <w:pStyle w:val="Default"/>
        <w:rPr>
          <w:sz w:val="22"/>
          <w:szCs w:val="22"/>
        </w:rPr>
      </w:pPr>
    </w:p>
    <w:p w:rsidR="00793DA2" w:rsidRPr="00E45E7D" w:rsidRDefault="00793DA2" w:rsidP="00793DA2">
      <w:pPr>
        <w:pStyle w:val="Default"/>
        <w:rPr>
          <w:b/>
          <w:sz w:val="22"/>
          <w:szCs w:val="22"/>
        </w:rPr>
      </w:pPr>
      <w:r w:rsidRPr="00E45E7D">
        <w:rPr>
          <w:b/>
          <w:sz w:val="22"/>
          <w:szCs w:val="22"/>
        </w:rPr>
        <w:t>Appendices:</w:t>
      </w:r>
    </w:p>
    <w:p w:rsidR="00793DA2" w:rsidRPr="005A7EC5" w:rsidRDefault="00793DA2" w:rsidP="00793DA2">
      <w:pPr>
        <w:pStyle w:val="Default"/>
        <w:rPr>
          <w:sz w:val="22"/>
          <w:szCs w:val="22"/>
        </w:rPr>
      </w:pPr>
    </w:p>
    <w:p w:rsidR="00793DA2" w:rsidRDefault="00AB49BC" w:rsidP="00793DA2">
      <w:pPr>
        <w:pStyle w:val="Default"/>
        <w:rPr>
          <w:sz w:val="22"/>
          <w:szCs w:val="22"/>
        </w:rPr>
      </w:pPr>
      <w:r>
        <w:rPr>
          <w:sz w:val="22"/>
          <w:szCs w:val="22"/>
        </w:rPr>
        <w:t xml:space="preserve">Appendix 1: </w:t>
      </w:r>
      <w:r w:rsidR="00E9434F">
        <w:rPr>
          <w:sz w:val="22"/>
          <w:szCs w:val="22"/>
        </w:rPr>
        <w:t>Salcombe</w:t>
      </w:r>
      <w:r w:rsidR="008321C3">
        <w:rPr>
          <w:sz w:val="22"/>
          <w:szCs w:val="22"/>
        </w:rPr>
        <w:t xml:space="preserve"> Neighbourhood Plan</w:t>
      </w:r>
      <w:r>
        <w:rPr>
          <w:sz w:val="22"/>
          <w:szCs w:val="22"/>
        </w:rPr>
        <w:t xml:space="preserve"> - Referendum version</w:t>
      </w:r>
    </w:p>
    <w:p w:rsidR="00793DA2" w:rsidRDefault="00793DA2" w:rsidP="00793DA2">
      <w:pPr>
        <w:pStyle w:val="Default"/>
        <w:rPr>
          <w:sz w:val="22"/>
          <w:szCs w:val="22"/>
        </w:rPr>
      </w:pPr>
    </w:p>
    <w:p w:rsidR="00793DA2" w:rsidRDefault="00793DA2" w:rsidP="00793DA2">
      <w:pPr>
        <w:pStyle w:val="Default"/>
        <w:rPr>
          <w:b/>
          <w:sz w:val="22"/>
          <w:szCs w:val="22"/>
        </w:rPr>
      </w:pPr>
      <w:r w:rsidRPr="00E45E7D">
        <w:rPr>
          <w:b/>
          <w:sz w:val="22"/>
          <w:szCs w:val="22"/>
        </w:rPr>
        <w:t>Background Papers</w:t>
      </w:r>
      <w:r>
        <w:rPr>
          <w:b/>
          <w:sz w:val="22"/>
          <w:szCs w:val="22"/>
        </w:rPr>
        <w:t>:</w:t>
      </w:r>
    </w:p>
    <w:p w:rsidR="00793DA2" w:rsidRPr="00E45E7D" w:rsidRDefault="00793DA2" w:rsidP="00793DA2">
      <w:pPr>
        <w:pStyle w:val="Default"/>
        <w:rPr>
          <w:b/>
          <w:sz w:val="22"/>
          <w:szCs w:val="22"/>
        </w:rPr>
      </w:pPr>
    </w:p>
    <w:p w:rsidR="002C7287" w:rsidRDefault="00AB49BC" w:rsidP="00CC7678">
      <w:pPr>
        <w:jc w:val="both"/>
        <w:rPr>
          <w:szCs w:val="22"/>
        </w:rPr>
      </w:pPr>
      <w:r w:rsidRPr="00AB49BC">
        <w:rPr>
          <w:szCs w:val="22"/>
        </w:rPr>
        <w:lastRenderedPageBreak/>
        <w:t>The</w:t>
      </w:r>
      <w:r>
        <w:rPr>
          <w:szCs w:val="22"/>
        </w:rPr>
        <w:t xml:space="preserve"> Neighbourhood Planning (General) Regulations </w:t>
      </w:r>
      <w:r w:rsidR="007013F0">
        <w:rPr>
          <w:szCs w:val="22"/>
        </w:rPr>
        <w:t>2012, including later amendments</w:t>
      </w:r>
    </w:p>
    <w:p w:rsidR="007013F0" w:rsidRDefault="007013F0" w:rsidP="00CC7678">
      <w:pPr>
        <w:jc w:val="both"/>
        <w:rPr>
          <w:szCs w:val="22"/>
        </w:rPr>
      </w:pPr>
    </w:p>
    <w:p w:rsidR="007013F0" w:rsidRDefault="007013F0" w:rsidP="00CC7678">
      <w:pPr>
        <w:jc w:val="both"/>
        <w:rPr>
          <w:szCs w:val="22"/>
        </w:rPr>
      </w:pPr>
      <w:r>
        <w:rPr>
          <w:szCs w:val="22"/>
        </w:rPr>
        <w:t xml:space="preserve">Government guidance at </w:t>
      </w:r>
      <w:hyperlink r:id="rId10" w:history="1">
        <w:r w:rsidRPr="00E13A5C">
          <w:rPr>
            <w:rStyle w:val="Hyperlink"/>
            <w:szCs w:val="22"/>
          </w:rPr>
          <w:t>https://www.gov.uk/guidance/neighbourhood-planning</w:t>
        </w:r>
      </w:hyperlink>
      <w:r>
        <w:rPr>
          <w:szCs w:val="22"/>
        </w:rPr>
        <w:t xml:space="preserve"> </w:t>
      </w:r>
    </w:p>
    <w:p w:rsidR="007013F0" w:rsidRDefault="007013F0" w:rsidP="00CC7678">
      <w:pPr>
        <w:jc w:val="both"/>
        <w:rPr>
          <w:szCs w:val="22"/>
        </w:rPr>
      </w:pPr>
    </w:p>
    <w:p w:rsidR="007013F0" w:rsidRDefault="007013F0" w:rsidP="00CC7678">
      <w:pPr>
        <w:jc w:val="both"/>
        <w:rPr>
          <w:szCs w:val="22"/>
        </w:rPr>
      </w:pPr>
      <w:r>
        <w:rPr>
          <w:szCs w:val="22"/>
        </w:rPr>
        <w:t>Backg</w:t>
      </w:r>
      <w:r w:rsidR="00C92969">
        <w:rPr>
          <w:szCs w:val="22"/>
        </w:rPr>
        <w:t xml:space="preserve">round documents to the </w:t>
      </w:r>
      <w:r w:rsidR="00E9434F">
        <w:rPr>
          <w:szCs w:val="22"/>
        </w:rPr>
        <w:t>Salcombe</w:t>
      </w:r>
      <w:r>
        <w:rPr>
          <w:szCs w:val="22"/>
        </w:rPr>
        <w:t xml:space="preserve"> </w:t>
      </w:r>
      <w:r w:rsidR="00C92969">
        <w:rPr>
          <w:szCs w:val="22"/>
        </w:rPr>
        <w:t xml:space="preserve">Neighbourhood Plan, available at </w:t>
      </w:r>
      <w:hyperlink r:id="rId11" w:history="1">
        <w:r w:rsidRPr="00E13A5C">
          <w:rPr>
            <w:rStyle w:val="Hyperlink"/>
            <w:szCs w:val="22"/>
          </w:rPr>
          <w:t>https://www.southhams.gov.uk/article/3882/Neighbourhood-Development-Plans-and-Orders</w:t>
        </w:r>
      </w:hyperlink>
      <w:r>
        <w:rPr>
          <w:szCs w:val="22"/>
        </w:rPr>
        <w:t xml:space="preserve"> </w:t>
      </w:r>
    </w:p>
    <w:p w:rsidR="007013F0" w:rsidRPr="00AB49BC" w:rsidRDefault="007013F0" w:rsidP="00CC7678">
      <w:pPr>
        <w:jc w:val="both"/>
        <w:rPr>
          <w:szCs w:val="22"/>
        </w:rPr>
      </w:pPr>
    </w:p>
    <w:p w:rsidR="00CC7678" w:rsidRPr="00793DA2" w:rsidRDefault="00793DA2" w:rsidP="00CC7678">
      <w:pPr>
        <w:jc w:val="both"/>
        <w:rPr>
          <w:b/>
          <w:szCs w:val="22"/>
          <w:u w:val="single"/>
        </w:rPr>
      </w:pPr>
      <w:r w:rsidRPr="00793DA2">
        <w:rPr>
          <w:b/>
          <w:szCs w:val="22"/>
          <w:u w:val="single"/>
        </w:rPr>
        <w:t xml:space="preserve">Approval and </w:t>
      </w:r>
      <w:r w:rsidR="00515E6C">
        <w:rPr>
          <w:b/>
          <w:szCs w:val="22"/>
          <w:u w:val="single"/>
        </w:rPr>
        <w:t>c</w:t>
      </w:r>
      <w:r w:rsidRPr="00793DA2">
        <w:rPr>
          <w:b/>
          <w:szCs w:val="22"/>
          <w:u w:val="single"/>
        </w:rPr>
        <w:t>learance of</w:t>
      </w:r>
      <w:r w:rsidR="00515E6C">
        <w:rPr>
          <w:b/>
          <w:szCs w:val="22"/>
          <w:u w:val="single"/>
        </w:rPr>
        <w:t xml:space="preserve"> r</w:t>
      </w:r>
      <w:r w:rsidRPr="00793DA2">
        <w:rPr>
          <w:b/>
          <w:szCs w:val="22"/>
          <w:u w:val="single"/>
        </w:rPr>
        <w:t>eport</w:t>
      </w:r>
    </w:p>
    <w:p w:rsidR="00265EB4" w:rsidRDefault="00265EB4" w:rsidP="00265EB4">
      <w:pPr>
        <w:rPr>
          <w:b/>
        </w:rPr>
      </w:pPr>
    </w:p>
    <w:p w:rsidR="007E7D1A" w:rsidRDefault="007E7D1A" w:rsidP="007E7D1A">
      <w:pPr>
        <w:pStyle w:val="Default"/>
        <w:rPr>
          <w:b/>
          <w:sz w:val="22"/>
          <w:szCs w:val="22"/>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2686"/>
      </w:tblGrid>
      <w:tr w:rsidR="007E7D1A" w:rsidRPr="00A91870" w:rsidTr="007D5562">
        <w:tc>
          <w:tcPr>
            <w:tcW w:w="5234" w:type="dxa"/>
          </w:tcPr>
          <w:p w:rsidR="007E7D1A" w:rsidRPr="00A91870" w:rsidRDefault="007E7D1A" w:rsidP="005F1C35">
            <w:pPr>
              <w:pStyle w:val="Default"/>
              <w:rPr>
                <w:b/>
                <w:sz w:val="22"/>
                <w:szCs w:val="22"/>
              </w:rPr>
            </w:pPr>
            <w:r w:rsidRPr="00A91870">
              <w:rPr>
                <w:b/>
                <w:sz w:val="22"/>
                <w:szCs w:val="22"/>
              </w:rPr>
              <w:t xml:space="preserve">Process </w:t>
            </w:r>
            <w:r w:rsidR="00EE6A82">
              <w:rPr>
                <w:b/>
                <w:sz w:val="22"/>
                <w:szCs w:val="22"/>
              </w:rPr>
              <w:t>c</w:t>
            </w:r>
            <w:r w:rsidRPr="00A91870">
              <w:rPr>
                <w:b/>
                <w:sz w:val="22"/>
                <w:szCs w:val="22"/>
              </w:rPr>
              <w:t>hecklist</w:t>
            </w:r>
          </w:p>
        </w:tc>
        <w:tc>
          <w:tcPr>
            <w:tcW w:w="2686" w:type="dxa"/>
            <w:tcBorders>
              <w:right w:val="single" w:sz="4" w:space="0" w:color="auto"/>
            </w:tcBorders>
          </w:tcPr>
          <w:p w:rsidR="007E7D1A" w:rsidRPr="00A91870" w:rsidRDefault="007E7D1A" w:rsidP="005F1C35">
            <w:pPr>
              <w:pStyle w:val="Default"/>
              <w:rPr>
                <w:b/>
                <w:sz w:val="22"/>
                <w:szCs w:val="22"/>
              </w:rPr>
            </w:pPr>
            <w:r w:rsidRPr="00A91870">
              <w:rPr>
                <w:b/>
                <w:sz w:val="22"/>
                <w:szCs w:val="22"/>
              </w:rPr>
              <w:t>Completed</w:t>
            </w:r>
          </w:p>
        </w:tc>
      </w:tr>
      <w:tr w:rsidR="007E7D1A" w:rsidRPr="00A91870" w:rsidTr="007D5562">
        <w:tc>
          <w:tcPr>
            <w:tcW w:w="5234" w:type="dxa"/>
          </w:tcPr>
          <w:p w:rsidR="007E7D1A" w:rsidRPr="00A91870" w:rsidRDefault="007E7D1A" w:rsidP="005F1C35">
            <w:pPr>
              <w:pStyle w:val="Default"/>
              <w:rPr>
                <w:sz w:val="22"/>
                <w:szCs w:val="22"/>
              </w:rPr>
            </w:pPr>
            <w:r>
              <w:rPr>
                <w:sz w:val="22"/>
                <w:szCs w:val="22"/>
              </w:rPr>
              <w:t xml:space="preserve">Portfolio Holder </w:t>
            </w:r>
            <w:r w:rsidR="007F4F8F">
              <w:rPr>
                <w:sz w:val="22"/>
                <w:szCs w:val="22"/>
              </w:rPr>
              <w:t>briefed</w:t>
            </w:r>
            <w:r w:rsidRPr="00A91870">
              <w:rPr>
                <w:sz w:val="22"/>
                <w:szCs w:val="22"/>
              </w:rPr>
              <w:t xml:space="preserve"> </w:t>
            </w:r>
          </w:p>
        </w:tc>
        <w:tc>
          <w:tcPr>
            <w:tcW w:w="2686" w:type="dxa"/>
          </w:tcPr>
          <w:p w:rsidR="007E7D1A" w:rsidRPr="00A91870" w:rsidRDefault="007E7D1A" w:rsidP="005F1C35">
            <w:pPr>
              <w:pStyle w:val="Default"/>
              <w:rPr>
                <w:b/>
                <w:sz w:val="22"/>
                <w:szCs w:val="22"/>
              </w:rPr>
            </w:pPr>
            <w:r w:rsidRPr="00A91870">
              <w:rPr>
                <w:b/>
                <w:sz w:val="22"/>
                <w:szCs w:val="22"/>
              </w:rPr>
              <w:t>Yes/No</w:t>
            </w:r>
          </w:p>
        </w:tc>
      </w:tr>
      <w:tr w:rsidR="007E7D1A" w:rsidRPr="00A91870" w:rsidTr="007D5562">
        <w:tc>
          <w:tcPr>
            <w:tcW w:w="5234" w:type="dxa"/>
          </w:tcPr>
          <w:p w:rsidR="007E7D1A" w:rsidRPr="00A91870" w:rsidRDefault="00D87EA0" w:rsidP="005F1C35">
            <w:pPr>
              <w:pStyle w:val="Default"/>
              <w:rPr>
                <w:sz w:val="22"/>
                <w:szCs w:val="22"/>
              </w:rPr>
            </w:pPr>
            <w:r>
              <w:rPr>
                <w:sz w:val="22"/>
                <w:szCs w:val="22"/>
              </w:rPr>
              <w:t>SLT Rep briefed</w:t>
            </w:r>
          </w:p>
        </w:tc>
        <w:tc>
          <w:tcPr>
            <w:tcW w:w="2686" w:type="dxa"/>
          </w:tcPr>
          <w:p w:rsidR="007E7D1A" w:rsidRPr="00A91870" w:rsidRDefault="007E7D1A" w:rsidP="005F1C35">
            <w:pPr>
              <w:pStyle w:val="Default"/>
              <w:rPr>
                <w:sz w:val="22"/>
                <w:szCs w:val="22"/>
              </w:rPr>
            </w:pPr>
            <w:r w:rsidRPr="00A91870">
              <w:rPr>
                <w:b/>
                <w:sz w:val="22"/>
                <w:szCs w:val="22"/>
              </w:rPr>
              <w:t>Yes/No</w:t>
            </w:r>
          </w:p>
        </w:tc>
      </w:tr>
      <w:tr w:rsidR="007E7D1A" w:rsidRPr="00A91870" w:rsidTr="007D5562">
        <w:tc>
          <w:tcPr>
            <w:tcW w:w="5234" w:type="dxa"/>
          </w:tcPr>
          <w:p w:rsidR="007E7D1A" w:rsidRPr="00A91870" w:rsidRDefault="00D87EA0" w:rsidP="005F1C35">
            <w:pPr>
              <w:pStyle w:val="Default"/>
              <w:rPr>
                <w:sz w:val="22"/>
                <w:szCs w:val="22"/>
              </w:rPr>
            </w:pPr>
            <w:r>
              <w:rPr>
                <w:sz w:val="22"/>
                <w:szCs w:val="22"/>
              </w:rPr>
              <w:t>Relevant  Exec Director</w:t>
            </w:r>
            <w:r w:rsidR="00EE6A82">
              <w:rPr>
                <w:sz w:val="22"/>
                <w:szCs w:val="22"/>
              </w:rPr>
              <w:t xml:space="preserve"> s</w:t>
            </w:r>
            <w:r w:rsidR="007E7D1A">
              <w:rPr>
                <w:sz w:val="22"/>
                <w:szCs w:val="22"/>
              </w:rPr>
              <w:t>ign off (draft)</w:t>
            </w:r>
          </w:p>
        </w:tc>
        <w:tc>
          <w:tcPr>
            <w:tcW w:w="2686" w:type="dxa"/>
          </w:tcPr>
          <w:p w:rsidR="007E7D1A" w:rsidRPr="00A91870" w:rsidRDefault="007E7D1A" w:rsidP="005F1C35">
            <w:pPr>
              <w:pStyle w:val="Default"/>
              <w:rPr>
                <w:b/>
                <w:sz w:val="22"/>
                <w:szCs w:val="22"/>
              </w:rPr>
            </w:pPr>
            <w:r>
              <w:rPr>
                <w:b/>
                <w:sz w:val="22"/>
                <w:szCs w:val="22"/>
              </w:rPr>
              <w:t>Yes/No</w:t>
            </w:r>
          </w:p>
        </w:tc>
      </w:tr>
      <w:tr w:rsidR="007E7D1A" w:rsidRPr="00A91870" w:rsidTr="007D5562">
        <w:tc>
          <w:tcPr>
            <w:tcW w:w="5234" w:type="dxa"/>
          </w:tcPr>
          <w:p w:rsidR="007E7D1A" w:rsidRPr="00A91870" w:rsidRDefault="007E7D1A" w:rsidP="005F1C35">
            <w:pPr>
              <w:pStyle w:val="Default"/>
              <w:rPr>
                <w:sz w:val="22"/>
                <w:szCs w:val="22"/>
              </w:rPr>
            </w:pPr>
            <w:r>
              <w:rPr>
                <w:sz w:val="22"/>
                <w:szCs w:val="22"/>
              </w:rPr>
              <w:t xml:space="preserve">Data </w:t>
            </w:r>
            <w:r w:rsidR="00EE6A82">
              <w:rPr>
                <w:sz w:val="22"/>
                <w:szCs w:val="22"/>
              </w:rPr>
              <w:t>p</w:t>
            </w:r>
            <w:r>
              <w:rPr>
                <w:sz w:val="22"/>
                <w:szCs w:val="22"/>
              </w:rPr>
              <w:t xml:space="preserve">rotection </w:t>
            </w:r>
            <w:r w:rsidR="00EE6A82">
              <w:rPr>
                <w:sz w:val="22"/>
                <w:szCs w:val="22"/>
              </w:rPr>
              <w:t>i</w:t>
            </w:r>
            <w:r>
              <w:rPr>
                <w:sz w:val="22"/>
                <w:szCs w:val="22"/>
              </w:rPr>
              <w:t xml:space="preserve">ssues </w:t>
            </w:r>
            <w:r w:rsidR="00EE6A82">
              <w:rPr>
                <w:sz w:val="22"/>
                <w:szCs w:val="22"/>
              </w:rPr>
              <w:t>c</w:t>
            </w:r>
            <w:r>
              <w:rPr>
                <w:sz w:val="22"/>
                <w:szCs w:val="22"/>
              </w:rPr>
              <w:t>onsidered</w:t>
            </w:r>
          </w:p>
        </w:tc>
        <w:tc>
          <w:tcPr>
            <w:tcW w:w="2686" w:type="dxa"/>
          </w:tcPr>
          <w:p w:rsidR="007E7D1A" w:rsidRPr="00A91870" w:rsidRDefault="007E7D1A" w:rsidP="005F1C35">
            <w:pPr>
              <w:pStyle w:val="Default"/>
              <w:rPr>
                <w:sz w:val="22"/>
                <w:szCs w:val="22"/>
              </w:rPr>
            </w:pPr>
            <w:r w:rsidRPr="00A91870">
              <w:rPr>
                <w:b/>
                <w:sz w:val="22"/>
                <w:szCs w:val="22"/>
              </w:rPr>
              <w:t>Yes/No</w:t>
            </w:r>
          </w:p>
        </w:tc>
      </w:tr>
      <w:tr w:rsidR="007E7D1A" w:rsidRPr="00A91870" w:rsidTr="007D5562">
        <w:tc>
          <w:tcPr>
            <w:tcW w:w="5234" w:type="dxa"/>
          </w:tcPr>
          <w:p w:rsidR="007E7D1A" w:rsidRPr="00A91870" w:rsidRDefault="007E7D1A" w:rsidP="005F1C35">
            <w:pPr>
              <w:pStyle w:val="Default"/>
              <w:rPr>
                <w:sz w:val="22"/>
                <w:szCs w:val="22"/>
              </w:rPr>
            </w:pPr>
            <w:r>
              <w:rPr>
                <w:sz w:val="22"/>
                <w:szCs w:val="22"/>
              </w:rPr>
              <w:t>If exempt information, public (part 1) report also drafted. (</w:t>
            </w:r>
            <w:smartTag w:uri="urn:schemas-microsoft-com:office:smarttags" w:element="PersonName">
              <w:r>
                <w:rPr>
                  <w:sz w:val="22"/>
                  <w:szCs w:val="22"/>
                </w:rPr>
                <w:t>Cabinet</w:t>
              </w:r>
            </w:smartTag>
            <w:r>
              <w:rPr>
                <w:sz w:val="22"/>
                <w:szCs w:val="22"/>
              </w:rPr>
              <w:t>/</w:t>
            </w:r>
            <w:r w:rsidR="00EE6A82">
              <w:rPr>
                <w:sz w:val="22"/>
                <w:szCs w:val="22"/>
              </w:rPr>
              <w:t>Scrutiny</w:t>
            </w:r>
            <w:r>
              <w:rPr>
                <w:sz w:val="22"/>
                <w:szCs w:val="22"/>
              </w:rPr>
              <w:t>)</w:t>
            </w:r>
          </w:p>
        </w:tc>
        <w:tc>
          <w:tcPr>
            <w:tcW w:w="2686" w:type="dxa"/>
          </w:tcPr>
          <w:p w:rsidR="007E7D1A" w:rsidRPr="00A91870" w:rsidRDefault="007E7D1A" w:rsidP="005F1C35">
            <w:pPr>
              <w:pStyle w:val="Default"/>
              <w:rPr>
                <w:sz w:val="22"/>
                <w:szCs w:val="22"/>
              </w:rPr>
            </w:pPr>
            <w:r w:rsidRPr="00A91870">
              <w:rPr>
                <w:b/>
                <w:sz w:val="22"/>
                <w:szCs w:val="22"/>
              </w:rPr>
              <w:t>Yes/No</w:t>
            </w:r>
          </w:p>
        </w:tc>
      </w:tr>
    </w:tbl>
    <w:p w:rsidR="006A588C" w:rsidRDefault="006A588C" w:rsidP="006E410F">
      <w:pPr>
        <w:pStyle w:val="Default"/>
      </w:pPr>
    </w:p>
    <w:sectPr w:rsidR="006A588C" w:rsidSect="0003171E">
      <w:headerReference w:type="even" r:id="rId12"/>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8A" w:rsidRDefault="0008088A">
      <w:r>
        <w:separator/>
      </w:r>
    </w:p>
  </w:endnote>
  <w:endnote w:type="continuationSeparator" w:id="0">
    <w:p w:rsidR="0008088A" w:rsidRDefault="0008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8A" w:rsidRDefault="0008088A">
      <w:r>
        <w:separator/>
      </w:r>
    </w:p>
  </w:footnote>
  <w:footnote w:type="continuationSeparator" w:id="0">
    <w:p w:rsidR="0008088A" w:rsidRDefault="0008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8D" w:rsidRDefault="0013018D" w:rsidP="00731D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A02"/>
    <w:multiLevelType w:val="hybridMultilevel"/>
    <w:tmpl w:val="E1F4D4A8"/>
    <w:lvl w:ilvl="0" w:tplc="728E35B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5CF0"/>
    <w:multiLevelType w:val="hybridMultilevel"/>
    <w:tmpl w:val="0EE853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F7C26"/>
    <w:multiLevelType w:val="hybridMultilevel"/>
    <w:tmpl w:val="C2EA3E6A"/>
    <w:lvl w:ilvl="0" w:tplc="BB22A79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F076ED"/>
    <w:multiLevelType w:val="hybridMultilevel"/>
    <w:tmpl w:val="C37C1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86C6E"/>
    <w:multiLevelType w:val="hybridMultilevel"/>
    <w:tmpl w:val="1EC0EE40"/>
    <w:lvl w:ilvl="0" w:tplc="728E35B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55DFE"/>
    <w:multiLevelType w:val="hybridMultilevel"/>
    <w:tmpl w:val="DF3CB21E"/>
    <w:lvl w:ilvl="0" w:tplc="728E35B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735DC"/>
    <w:multiLevelType w:val="hybridMultilevel"/>
    <w:tmpl w:val="D182E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A46B0"/>
    <w:multiLevelType w:val="hybridMultilevel"/>
    <w:tmpl w:val="3E2ECDA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A9007A7"/>
    <w:multiLevelType w:val="multilevel"/>
    <w:tmpl w:val="93361736"/>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45E2B3E"/>
    <w:multiLevelType w:val="multilevel"/>
    <w:tmpl w:val="473C32A6"/>
    <w:lvl w:ilvl="0">
      <w:start w:val="2"/>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0" w15:restartNumberingAfterBreak="0">
    <w:nsid w:val="3BB728CA"/>
    <w:multiLevelType w:val="multilevel"/>
    <w:tmpl w:val="15084748"/>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C1F2081"/>
    <w:multiLevelType w:val="hybridMultilevel"/>
    <w:tmpl w:val="63A29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20559F"/>
    <w:multiLevelType w:val="hybridMultilevel"/>
    <w:tmpl w:val="15AA9D18"/>
    <w:lvl w:ilvl="0" w:tplc="728E35B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27F37"/>
    <w:multiLevelType w:val="hybridMultilevel"/>
    <w:tmpl w:val="82EACAE0"/>
    <w:lvl w:ilvl="0" w:tplc="053885C6">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EE469B0"/>
    <w:multiLevelType w:val="multilevel"/>
    <w:tmpl w:val="85A457F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8BF171C"/>
    <w:multiLevelType w:val="hybridMultilevel"/>
    <w:tmpl w:val="2CCE4F44"/>
    <w:lvl w:ilvl="0" w:tplc="728E35B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C1A82"/>
    <w:multiLevelType w:val="hybridMultilevel"/>
    <w:tmpl w:val="95B48C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5"/>
  </w:num>
  <w:num w:numId="5">
    <w:abstractNumId w:val="12"/>
  </w:num>
  <w:num w:numId="6">
    <w:abstractNumId w:val="1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8"/>
  </w:num>
  <w:num w:numId="12">
    <w:abstractNumId w:val="1"/>
  </w:num>
  <w:num w:numId="13">
    <w:abstractNumId w:val="16"/>
  </w:num>
  <w:num w:numId="14">
    <w:abstractNumId w:val="10"/>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8B"/>
    <w:rsid w:val="0001563B"/>
    <w:rsid w:val="0002014B"/>
    <w:rsid w:val="0003171E"/>
    <w:rsid w:val="00051621"/>
    <w:rsid w:val="000526B6"/>
    <w:rsid w:val="00053CF0"/>
    <w:rsid w:val="000623E0"/>
    <w:rsid w:val="00063483"/>
    <w:rsid w:val="000657B5"/>
    <w:rsid w:val="000658F6"/>
    <w:rsid w:val="00072C68"/>
    <w:rsid w:val="00074EB2"/>
    <w:rsid w:val="00077209"/>
    <w:rsid w:val="0008088A"/>
    <w:rsid w:val="000827CF"/>
    <w:rsid w:val="00094D4C"/>
    <w:rsid w:val="000B5D48"/>
    <w:rsid w:val="000C23B6"/>
    <w:rsid w:val="000C4C34"/>
    <w:rsid w:val="000C6616"/>
    <w:rsid w:val="000D26E5"/>
    <w:rsid w:val="000D2841"/>
    <w:rsid w:val="000D3B6A"/>
    <w:rsid w:val="000D588C"/>
    <w:rsid w:val="000D630F"/>
    <w:rsid w:val="000D6A36"/>
    <w:rsid w:val="000E1972"/>
    <w:rsid w:val="000E25B4"/>
    <w:rsid w:val="000F1415"/>
    <w:rsid w:val="000F3872"/>
    <w:rsid w:val="000F5A21"/>
    <w:rsid w:val="00105FD7"/>
    <w:rsid w:val="001144F6"/>
    <w:rsid w:val="0011749D"/>
    <w:rsid w:val="00117C1B"/>
    <w:rsid w:val="00122F2D"/>
    <w:rsid w:val="0013018D"/>
    <w:rsid w:val="00130656"/>
    <w:rsid w:val="001329BA"/>
    <w:rsid w:val="00140A59"/>
    <w:rsid w:val="00146DCB"/>
    <w:rsid w:val="00155B3C"/>
    <w:rsid w:val="00165CF0"/>
    <w:rsid w:val="001737D5"/>
    <w:rsid w:val="001762AF"/>
    <w:rsid w:val="00177855"/>
    <w:rsid w:val="00194A9B"/>
    <w:rsid w:val="00194C34"/>
    <w:rsid w:val="001955DA"/>
    <w:rsid w:val="00196DBD"/>
    <w:rsid w:val="001A2E37"/>
    <w:rsid w:val="001E312A"/>
    <w:rsid w:val="001E4BA3"/>
    <w:rsid w:val="001F308D"/>
    <w:rsid w:val="001F5678"/>
    <w:rsid w:val="00202DCD"/>
    <w:rsid w:val="00220F46"/>
    <w:rsid w:val="00223AD0"/>
    <w:rsid w:val="00224314"/>
    <w:rsid w:val="00226D33"/>
    <w:rsid w:val="00230AFD"/>
    <w:rsid w:val="002344C5"/>
    <w:rsid w:val="002419D9"/>
    <w:rsid w:val="00243938"/>
    <w:rsid w:val="00251EA4"/>
    <w:rsid w:val="002525EA"/>
    <w:rsid w:val="00254617"/>
    <w:rsid w:val="002573EB"/>
    <w:rsid w:val="00265209"/>
    <w:rsid w:val="00265CEE"/>
    <w:rsid w:val="00265EB4"/>
    <w:rsid w:val="00267F06"/>
    <w:rsid w:val="002872B0"/>
    <w:rsid w:val="002941B6"/>
    <w:rsid w:val="0029481D"/>
    <w:rsid w:val="002A24FB"/>
    <w:rsid w:val="002A4D3B"/>
    <w:rsid w:val="002B0245"/>
    <w:rsid w:val="002B1920"/>
    <w:rsid w:val="002C1D6B"/>
    <w:rsid w:val="002C5D10"/>
    <w:rsid w:val="002C7287"/>
    <w:rsid w:val="002D466B"/>
    <w:rsid w:val="00302FD4"/>
    <w:rsid w:val="00306E9F"/>
    <w:rsid w:val="003137D7"/>
    <w:rsid w:val="00320746"/>
    <w:rsid w:val="00343AC8"/>
    <w:rsid w:val="00344BC3"/>
    <w:rsid w:val="0034550C"/>
    <w:rsid w:val="003541C1"/>
    <w:rsid w:val="003575A1"/>
    <w:rsid w:val="00357DD8"/>
    <w:rsid w:val="00364A72"/>
    <w:rsid w:val="003753C2"/>
    <w:rsid w:val="0038045E"/>
    <w:rsid w:val="00380DEF"/>
    <w:rsid w:val="0038563C"/>
    <w:rsid w:val="0038603B"/>
    <w:rsid w:val="00390E16"/>
    <w:rsid w:val="003A36A8"/>
    <w:rsid w:val="003A5C65"/>
    <w:rsid w:val="003B3174"/>
    <w:rsid w:val="003B36F4"/>
    <w:rsid w:val="003C2B57"/>
    <w:rsid w:val="003C622F"/>
    <w:rsid w:val="003E0762"/>
    <w:rsid w:val="003E278B"/>
    <w:rsid w:val="003E2D95"/>
    <w:rsid w:val="003F48A7"/>
    <w:rsid w:val="003F5E65"/>
    <w:rsid w:val="00413A29"/>
    <w:rsid w:val="004178AB"/>
    <w:rsid w:val="0042090B"/>
    <w:rsid w:val="004378DD"/>
    <w:rsid w:val="00441C31"/>
    <w:rsid w:val="004729B6"/>
    <w:rsid w:val="00475B36"/>
    <w:rsid w:val="00476BE1"/>
    <w:rsid w:val="00490FF7"/>
    <w:rsid w:val="00492DF6"/>
    <w:rsid w:val="004944F3"/>
    <w:rsid w:val="004A17AD"/>
    <w:rsid w:val="004A187A"/>
    <w:rsid w:val="004B05DC"/>
    <w:rsid w:val="004C0641"/>
    <w:rsid w:val="004C0DCF"/>
    <w:rsid w:val="004C1389"/>
    <w:rsid w:val="004C1FA1"/>
    <w:rsid w:val="004C4915"/>
    <w:rsid w:val="004E2B7B"/>
    <w:rsid w:val="00515B64"/>
    <w:rsid w:val="00515E6C"/>
    <w:rsid w:val="00524613"/>
    <w:rsid w:val="0053562E"/>
    <w:rsid w:val="00541F03"/>
    <w:rsid w:val="005454ED"/>
    <w:rsid w:val="00551319"/>
    <w:rsid w:val="00586FB8"/>
    <w:rsid w:val="0059113B"/>
    <w:rsid w:val="00593CAB"/>
    <w:rsid w:val="005A45EC"/>
    <w:rsid w:val="005A66A4"/>
    <w:rsid w:val="005A6952"/>
    <w:rsid w:val="005A7EC5"/>
    <w:rsid w:val="005B5A4D"/>
    <w:rsid w:val="005C5174"/>
    <w:rsid w:val="005D227A"/>
    <w:rsid w:val="005E23B4"/>
    <w:rsid w:val="005E681F"/>
    <w:rsid w:val="005F1C35"/>
    <w:rsid w:val="005F230C"/>
    <w:rsid w:val="0060032B"/>
    <w:rsid w:val="00601B0E"/>
    <w:rsid w:val="006150BB"/>
    <w:rsid w:val="00623F64"/>
    <w:rsid w:val="00630F3A"/>
    <w:rsid w:val="00642E83"/>
    <w:rsid w:val="00643F79"/>
    <w:rsid w:val="006528C6"/>
    <w:rsid w:val="0066012E"/>
    <w:rsid w:val="00661E92"/>
    <w:rsid w:val="006770F4"/>
    <w:rsid w:val="00685D04"/>
    <w:rsid w:val="00696786"/>
    <w:rsid w:val="006A588C"/>
    <w:rsid w:val="006B2015"/>
    <w:rsid w:val="006B52C1"/>
    <w:rsid w:val="006C0AB5"/>
    <w:rsid w:val="006C1E34"/>
    <w:rsid w:val="006C291B"/>
    <w:rsid w:val="006C3670"/>
    <w:rsid w:val="006C4623"/>
    <w:rsid w:val="006C46CF"/>
    <w:rsid w:val="006C5353"/>
    <w:rsid w:val="006D01CC"/>
    <w:rsid w:val="006D54F9"/>
    <w:rsid w:val="006E2DE6"/>
    <w:rsid w:val="006E410F"/>
    <w:rsid w:val="006E782A"/>
    <w:rsid w:val="007013F0"/>
    <w:rsid w:val="00707E2E"/>
    <w:rsid w:val="00731D2A"/>
    <w:rsid w:val="00756C58"/>
    <w:rsid w:val="007573B0"/>
    <w:rsid w:val="007652B5"/>
    <w:rsid w:val="00767C8B"/>
    <w:rsid w:val="007807E8"/>
    <w:rsid w:val="00793DA2"/>
    <w:rsid w:val="007957CA"/>
    <w:rsid w:val="007A1572"/>
    <w:rsid w:val="007A745A"/>
    <w:rsid w:val="007C6664"/>
    <w:rsid w:val="007D1B57"/>
    <w:rsid w:val="007D5562"/>
    <w:rsid w:val="007E4899"/>
    <w:rsid w:val="007E4FA9"/>
    <w:rsid w:val="007E7D1A"/>
    <w:rsid w:val="007E7EA7"/>
    <w:rsid w:val="007F0F0B"/>
    <w:rsid w:val="007F3EEB"/>
    <w:rsid w:val="007F4F8F"/>
    <w:rsid w:val="00801404"/>
    <w:rsid w:val="008014C6"/>
    <w:rsid w:val="00801501"/>
    <w:rsid w:val="00805601"/>
    <w:rsid w:val="00810B15"/>
    <w:rsid w:val="00815186"/>
    <w:rsid w:val="0082220A"/>
    <w:rsid w:val="008321C3"/>
    <w:rsid w:val="00834A88"/>
    <w:rsid w:val="00837445"/>
    <w:rsid w:val="00842882"/>
    <w:rsid w:val="00852D43"/>
    <w:rsid w:val="00854D96"/>
    <w:rsid w:val="008630D3"/>
    <w:rsid w:val="00877892"/>
    <w:rsid w:val="0088688B"/>
    <w:rsid w:val="008A7681"/>
    <w:rsid w:val="008B064B"/>
    <w:rsid w:val="008B1E27"/>
    <w:rsid w:val="008B71E3"/>
    <w:rsid w:val="008B75D1"/>
    <w:rsid w:val="008C0C13"/>
    <w:rsid w:val="008D1633"/>
    <w:rsid w:val="008D3C40"/>
    <w:rsid w:val="008D7554"/>
    <w:rsid w:val="008E166C"/>
    <w:rsid w:val="008E240B"/>
    <w:rsid w:val="008E5FBF"/>
    <w:rsid w:val="008E755C"/>
    <w:rsid w:val="008E7945"/>
    <w:rsid w:val="008F4679"/>
    <w:rsid w:val="008F528F"/>
    <w:rsid w:val="0090164A"/>
    <w:rsid w:val="00902138"/>
    <w:rsid w:val="009036A2"/>
    <w:rsid w:val="00905ED2"/>
    <w:rsid w:val="00922EC8"/>
    <w:rsid w:val="009257B7"/>
    <w:rsid w:val="00925B61"/>
    <w:rsid w:val="009306E8"/>
    <w:rsid w:val="0093354B"/>
    <w:rsid w:val="00944718"/>
    <w:rsid w:val="0095198D"/>
    <w:rsid w:val="0095780A"/>
    <w:rsid w:val="0096459C"/>
    <w:rsid w:val="00967945"/>
    <w:rsid w:val="00967DDC"/>
    <w:rsid w:val="00967F14"/>
    <w:rsid w:val="009947F3"/>
    <w:rsid w:val="009A0C3E"/>
    <w:rsid w:val="009A6062"/>
    <w:rsid w:val="009A6CF4"/>
    <w:rsid w:val="009A6D8B"/>
    <w:rsid w:val="009B589A"/>
    <w:rsid w:val="009B67C0"/>
    <w:rsid w:val="009C0BB4"/>
    <w:rsid w:val="009C1660"/>
    <w:rsid w:val="009C5AE2"/>
    <w:rsid w:val="009D5EAE"/>
    <w:rsid w:val="009E7E03"/>
    <w:rsid w:val="009F7273"/>
    <w:rsid w:val="009F7483"/>
    <w:rsid w:val="00A00CA9"/>
    <w:rsid w:val="00A00CD8"/>
    <w:rsid w:val="00A0217E"/>
    <w:rsid w:val="00A21920"/>
    <w:rsid w:val="00A224D1"/>
    <w:rsid w:val="00A232DF"/>
    <w:rsid w:val="00A24CBD"/>
    <w:rsid w:val="00A276D7"/>
    <w:rsid w:val="00A30461"/>
    <w:rsid w:val="00A3187E"/>
    <w:rsid w:val="00A34FCD"/>
    <w:rsid w:val="00A35944"/>
    <w:rsid w:val="00A479BA"/>
    <w:rsid w:val="00A70B0F"/>
    <w:rsid w:val="00A86A3F"/>
    <w:rsid w:val="00A91870"/>
    <w:rsid w:val="00A94456"/>
    <w:rsid w:val="00A966A8"/>
    <w:rsid w:val="00AA265A"/>
    <w:rsid w:val="00AA2DAD"/>
    <w:rsid w:val="00AA2F71"/>
    <w:rsid w:val="00AA4ABA"/>
    <w:rsid w:val="00AB1B84"/>
    <w:rsid w:val="00AB4286"/>
    <w:rsid w:val="00AB49BC"/>
    <w:rsid w:val="00AB7543"/>
    <w:rsid w:val="00AC692A"/>
    <w:rsid w:val="00AC7E78"/>
    <w:rsid w:val="00AD120D"/>
    <w:rsid w:val="00AD16D4"/>
    <w:rsid w:val="00AD3D11"/>
    <w:rsid w:val="00B0057F"/>
    <w:rsid w:val="00B034CA"/>
    <w:rsid w:val="00B0583C"/>
    <w:rsid w:val="00B30641"/>
    <w:rsid w:val="00B411AE"/>
    <w:rsid w:val="00B41931"/>
    <w:rsid w:val="00B42C6B"/>
    <w:rsid w:val="00B4499A"/>
    <w:rsid w:val="00B510F6"/>
    <w:rsid w:val="00B52959"/>
    <w:rsid w:val="00B617C5"/>
    <w:rsid w:val="00B66E54"/>
    <w:rsid w:val="00B83E2C"/>
    <w:rsid w:val="00B86E05"/>
    <w:rsid w:val="00BA333D"/>
    <w:rsid w:val="00BB03EB"/>
    <w:rsid w:val="00BB0AC8"/>
    <w:rsid w:val="00BC177F"/>
    <w:rsid w:val="00BD3CE5"/>
    <w:rsid w:val="00BF5733"/>
    <w:rsid w:val="00C01A75"/>
    <w:rsid w:val="00C06982"/>
    <w:rsid w:val="00C21A74"/>
    <w:rsid w:val="00C23DDA"/>
    <w:rsid w:val="00C30B09"/>
    <w:rsid w:val="00C4558C"/>
    <w:rsid w:val="00C468A8"/>
    <w:rsid w:val="00C50142"/>
    <w:rsid w:val="00C71076"/>
    <w:rsid w:val="00C8400F"/>
    <w:rsid w:val="00C87829"/>
    <w:rsid w:val="00C92941"/>
    <w:rsid w:val="00C92969"/>
    <w:rsid w:val="00C93442"/>
    <w:rsid w:val="00C9369D"/>
    <w:rsid w:val="00C93D99"/>
    <w:rsid w:val="00C95861"/>
    <w:rsid w:val="00CA0739"/>
    <w:rsid w:val="00CA50FE"/>
    <w:rsid w:val="00CA6CCB"/>
    <w:rsid w:val="00CA798E"/>
    <w:rsid w:val="00CB5E6E"/>
    <w:rsid w:val="00CB6D1C"/>
    <w:rsid w:val="00CC7678"/>
    <w:rsid w:val="00CD3C77"/>
    <w:rsid w:val="00CD6816"/>
    <w:rsid w:val="00CE0924"/>
    <w:rsid w:val="00CE1830"/>
    <w:rsid w:val="00CE1960"/>
    <w:rsid w:val="00CE540D"/>
    <w:rsid w:val="00CE5FEE"/>
    <w:rsid w:val="00CF08D6"/>
    <w:rsid w:val="00D13DFE"/>
    <w:rsid w:val="00D24814"/>
    <w:rsid w:val="00D2511C"/>
    <w:rsid w:val="00D33D23"/>
    <w:rsid w:val="00D44E61"/>
    <w:rsid w:val="00D638CB"/>
    <w:rsid w:val="00D74D3E"/>
    <w:rsid w:val="00D7608F"/>
    <w:rsid w:val="00D76859"/>
    <w:rsid w:val="00D848A8"/>
    <w:rsid w:val="00D87E52"/>
    <w:rsid w:val="00D87EA0"/>
    <w:rsid w:val="00DA25EC"/>
    <w:rsid w:val="00DA4FF7"/>
    <w:rsid w:val="00DA718F"/>
    <w:rsid w:val="00DB0772"/>
    <w:rsid w:val="00DB6BCC"/>
    <w:rsid w:val="00DC18E9"/>
    <w:rsid w:val="00DC742B"/>
    <w:rsid w:val="00DD11A4"/>
    <w:rsid w:val="00DD1E12"/>
    <w:rsid w:val="00DD1E84"/>
    <w:rsid w:val="00DE1EB9"/>
    <w:rsid w:val="00DE7EB0"/>
    <w:rsid w:val="00DF76B2"/>
    <w:rsid w:val="00E2036F"/>
    <w:rsid w:val="00E213C9"/>
    <w:rsid w:val="00E22106"/>
    <w:rsid w:val="00E37A74"/>
    <w:rsid w:val="00E44655"/>
    <w:rsid w:val="00E45E7D"/>
    <w:rsid w:val="00E51D57"/>
    <w:rsid w:val="00E5649F"/>
    <w:rsid w:val="00E607AE"/>
    <w:rsid w:val="00E616FF"/>
    <w:rsid w:val="00E70855"/>
    <w:rsid w:val="00E70A44"/>
    <w:rsid w:val="00E7192A"/>
    <w:rsid w:val="00E74FE5"/>
    <w:rsid w:val="00E838F2"/>
    <w:rsid w:val="00E855E4"/>
    <w:rsid w:val="00E86436"/>
    <w:rsid w:val="00E9434F"/>
    <w:rsid w:val="00EE0CF0"/>
    <w:rsid w:val="00EE46AD"/>
    <w:rsid w:val="00EE518D"/>
    <w:rsid w:val="00EE5F19"/>
    <w:rsid w:val="00EE6A82"/>
    <w:rsid w:val="00EF00C9"/>
    <w:rsid w:val="00EF29C0"/>
    <w:rsid w:val="00F02AE7"/>
    <w:rsid w:val="00F068FE"/>
    <w:rsid w:val="00F15339"/>
    <w:rsid w:val="00F17025"/>
    <w:rsid w:val="00F26D27"/>
    <w:rsid w:val="00F27BB9"/>
    <w:rsid w:val="00F35CE9"/>
    <w:rsid w:val="00F37AEF"/>
    <w:rsid w:val="00F41F69"/>
    <w:rsid w:val="00F70081"/>
    <w:rsid w:val="00F752C3"/>
    <w:rsid w:val="00F8305F"/>
    <w:rsid w:val="00F920FD"/>
    <w:rsid w:val="00F95A55"/>
    <w:rsid w:val="00F95DB0"/>
    <w:rsid w:val="00F96166"/>
    <w:rsid w:val="00FA1202"/>
    <w:rsid w:val="00FA333C"/>
    <w:rsid w:val="00FA7931"/>
    <w:rsid w:val="00FB4BC7"/>
    <w:rsid w:val="00FE28DA"/>
    <w:rsid w:val="00FE7357"/>
    <w:rsid w:val="00FE760D"/>
    <w:rsid w:val="00FE7CC9"/>
    <w:rsid w:val="00FF0852"/>
    <w:rsid w:val="00FF58D6"/>
    <w:rsid w:val="00FF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F620652-13E1-4CBD-B850-40F42ECE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D27"/>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FA1"/>
    <w:pPr>
      <w:autoSpaceDE w:val="0"/>
      <w:autoSpaceDN w:val="0"/>
      <w:adjustRightInd w:val="0"/>
    </w:pPr>
    <w:rPr>
      <w:rFonts w:ascii="Verdana" w:hAnsi="Verdana" w:cs="Verdana"/>
      <w:color w:val="000000"/>
      <w:sz w:val="24"/>
      <w:szCs w:val="24"/>
    </w:rPr>
  </w:style>
  <w:style w:type="paragraph" w:styleId="Header">
    <w:name w:val="header"/>
    <w:basedOn w:val="Normal"/>
    <w:rsid w:val="00E45E7D"/>
    <w:pPr>
      <w:tabs>
        <w:tab w:val="center" w:pos="4153"/>
        <w:tab w:val="right" w:pos="8306"/>
      </w:tabs>
    </w:pPr>
  </w:style>
  <w:style w:type="paragraph" w:styleId="Footer">
    <w:name w:val="footer"/>
    <w:basedOn w:val="Normal"/>
    <w:rsid w:val="00E45E7D"/>
    <w:pPr>
      <w:tabs>
        <w:tab w:val="center" w:pos="4153"/>
        <w:tab w:val="right" w:pos="8306"/>
      </w:tabs>
    </w:pPr>
  </w:style>
  <w:style w:type="paragraph" w:styleId="BalloonText">
    <w:name w:val="Balloon Text"/>
    <w:basedOn w:val="Normal"/>
    <w:semiHidden/>
    <w:rsid w:val="00DA25EC"/>
    <w:rPr>
      <w:rFonts w:ascii="Tahoma" w:hAnsi="Tahoma" w:cs="Tahoma"/>
      <w:sz w:val="16"/>
      <w:szCs w:val="16"/>
    </w:rPr>
  </w:style>
  <w:style w:type="paragraph" w:customStyle="1" w:styleId="01BSCCParagraphbodystyle">
    <w:name w:val="01BS CC Paragraph body style"/>
    <w:rsid w:val="007D1B57"/>
    <w:pPr>
      <w:suppressAutoHyphens/>
      <w:spacing w:after="240"/>
    </w:pPr>
    <w:rPr>
      <w:rFonts w:ascii="Verdana" w:hAnsi="Verdana"/>
      <w:sz w:val="22"/>
      <w:lang w:eastAsia="en-US"/>
    </w:rPr>
  </w:style>
  <w:style w:type="paragraph" w:customStyle="1" w:styleId="default0">
    <w:name w:val="default"/>
    <w:basedOn w:val="Normal"/>
    <w:rsid w:val="00C4558C"/>
    <w:pPr>
      <w:autoSpaceDE w:val="0"/>
      <w:autoSpaceDN w:val="0"/>
    </w:pPr>
    <w:rPr>
      <w:color w:val="000000"/>
      <w:sz w:val="24"/>
    </w:rPr>
  </w:style>
  <w:style w:type="character" w:styleId="CommentReference">
    <w:name w:val="annotation reference"/>
    <w:semiHidden/>
    <w:rsid w:val="004378DD"/>
    <w:rPr>
      <w:sz w:val="16"/>
      <w:szCs w:val="16"/>
    </w:rPr>
  </w:style>
  <w:style w:type="paragraph" w:styleId="CommentText">
    <w:name w:val="annotation text"/>
    <w:basedOn w:val="Normal"/>
    <w:semiHidden/>
    <w:rsid w:val="004378DD"/>
    <w:rPr>
      <w:sz w:val="20"/>
      <w:szCs w:val="20"/>
    </w:rPr>
  </w:style>
  <w:style w:type="paragraph" w:styleId="CommentSubject">
    <w:name w:val="annotation subject"/>
    <w:basedOn w:val="CommentText"/>
    <w:next w:val="CommentText"/>
    <w:semiHidden/>
    <w:rsid w:val="004378DD"/>
    <w:rPr>
      <w:b/>
      <w:bCs/>
    </w:rPr>
  </w:style>
  <w:style w:type="character" w:styleId="Hyperlink">
    <w:name w:val="Hyperlink"/>
    <w:rsid w:val="00D848A8"/>
    <w:rPr>
      <w:color w:val="0000FF"/>
      <w:u w:val="single"/>
    </w:rPr>
  </w:style>
  <w:style w:type="character" w:styleId="FollowedHyperlink">
    <w:name w:val="FollowedHyperlink"/>
    <w:rsid w:val="00FF58D6"/>
    <w:rPr>
      <w:color w:val="800080"/>
      <w:u w:val="single"/>
    </w:rPr>
  </w:style>
  <w:style w:type="paragraph" w:styleId="ListParagraph">
    <w:name w:val="List Paragraph"/>
    <w:basedOn w:val="Normal"/>
    <w:uiPriority w:val="34"/>
    <w:qFormat/>
    <w:rsid w:val="00AC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042">
      <w:bodyDiv w:val="1"/>
      <w:marLeft w:val="0"/>
      <w:marRight w:val="0"/>
      <w:marTop w:val="0"/>
      <w:marBottom w:val="0"/>
      <w:divBdr>
        <w:top w:val="none" w:sz="0" w:space="0" w:color="auto"/>
        <w:left w:val="none" w:sz="0" w:space="0" w:color="auto"/>
        <w:bottom w:val="none" w:sz="0" w:space="0" w:color="auto"/>
        <w:right w:val="none" w:sz="0" w:space="0" w:color="auto"/>
      </w:divBdr>
      <w:divsChild>
        <w:div w:id="1734817165">
          <w:marLeft w:val="0"/>
          <w:marRight w:val="0"/>
          <w:marTop w:val="211"/>
          <w:marBottom w:val="351"/>
          <w:divBdr>
            <w:top w:val="none" w:sz="0" w:space="0" w:color="auto"/>
            <w:left w:val="none" w:sz="0" w:space="0" w:color="auto"/>
            <w:bottom w:val="none" w:sz="0" w:space="0" w:color="auto"/>
            <w:right w:val="none" w:sz="0" w:space="0" w:color="auto"/>
          </w:divBdr>
          <w:divsChild>
            <w:div w:id="1132597762">
              <w:marLeft w:val="0"/>
              <w:marRight w:val="0"/>
              <w:marTop w:val="0"/>
              <w:marBottom w:val="0"/>
              <w:divBdr>
                <w:top w:val="none" w:sz="0" w:space="0" w:color="auto"/>
                <w:left w:val="none" w:sz="0" w:space="0" w:color="auto"/>
                <w:bottom w:val="none" w:sz="0" w:space="0" w:color="auto"/>
                <w:right w:val="none" w:sz="0" w:space="0" w:color="auto"/>
              </w:divBdr>
              <w:divsChild>
                <w:div w:id="2015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9587">
      <w:bodyDiv w:val="1"/>
      <w:marLeft w:val="0"/>
      <w:marRight w:val="0"/>
      <w:marTop w:val="0"/>
      <w:marBottom w:val="0"/>
      <w:divBdr>
        <w:top w:val="none" w:sz="0" w:space="0" w:color="auto"/>
        <w:left w:val="none" w:sz="0" w:space="0" w:color="auto"/>
        <w:bottom w:val="none" w:sz="0" w:space="0" w:color="auto"/>
        <w:right w:val="none" w:sz="0" w:space="0" w:color="auto"/>
      </w:divBdr>
    </w:div>
    <w:div w:id="652639583">
      <w:bodyDiv w:val="1"/>
      <w:marLeft w:val="0"/>
      <w:marRight w:val="0"/>
      <w:marTop w:val="0"/>
      <w:marBottom w:val="0"/>
      <w:divBdr>
        <w:top w:val="none" w:sz="0" w:space="0" w:color="auto"/>
        <w:left w:val="none" w:sz="0" w:space="0" w:color="auto"/>
        <w:bottom w:val="none" w:sz="0" w:space="0" w:color="auto"/>
        <w:right w:val="none" w:sz="0" w:space="0" w:color="auto"/>
      </w:divBdr>
    </w:div>
    <w:div w:id="1241599081">
      <w:bodyDiv w:val="1"/>
      <w:marLeft w:val="0"/>
      <w:marRight w:val="0"/>
      <w:marTop w:val="0"/>
      <w:marBottom w:val="0"/>
      <w:divBdr>
        <w:top w:val="none" w:sz="0" w:space="0" w:color="auto"/>
        <w:left w:val="none" w:sz="0" w:space="0" w:color="auto"/>
        <w:bottom w:val="none" w:sz="0" w:space="0" w:color="auto"/>
        <w:right w:val="none" w:sz="0" w:space="0" w:color="auto"/>
      </w:divBdr>
    </w:div>
    <w:div w:id="1315572241">
      <w:bodyDiv w:val="1"/>
      <w:marLeft w:val="0"/>
      <w:marRight w:val="0"/>
      <w:marTop w:val="0"/>
      <w:marBottom w:val="0"/>
      <w:divBdr>
        <w:top w:val="none" w:sz="0" w:space="0" w:color="auto"/>
        <w:left w:val="none" w:sz="0" w:space="0" w:color="auto"/>
        <w:bottom w:val="none" w:sz="0" w:space="0" w:color="auto"/>
        <w:right w:val="none" w:sz="0" w:space="0" w:color="auto"/>
      </w:divBdr>
      <w:divsChild>
        <w:div w:id="852569333">
          <w:marLeft w:val="0"/>
          <w:marRight w:val="0"/>
          <w:marTop w:val="211"/>
          <w:marBottom w:val="351"/>
          <w:divBdr>
            <w:top w:val="none" w:sz="0" w:space="0" w:color="auto"/>
            <w:left w:val="none" w:sz="0" w:space="0" w:color="auto"/>
            <w:bottom w:val="none" w:sz="0" w:space="0" w:color="auto"/>
            <w:right w:val="none" w:sz="0" w:space="0" w:color="auto"/>
          </w:divBdr>
          <w:divsChild>
            <w:div w:id="349991782">
              <w:marLeft w:val="0"/>
              <w:marRight w:val="0"/>
              <w:marTop w:val="0"/>
              <w:marBottom w:val="0"/>
              <w:divBdr>
                <w:top w:val="none" w:sz="0" w:space="0" w:color="auto"/>
                <w:left w:val="none" w:sz="0" w:space="0" w:color="auto"/>
                <w:bottom w:val="none" w:sz="0" w:space="0" w:color="auto"/>
                <w:right w:val="none" w:sz="0" w:space="0" w:color="auto"/>
              </w:divBdr>
              <w:divsChild>
                <w:div w:id="15449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4457">
      <w:bodyDiv w:val="1"/>
      <w:marLeft w:val="0"/>
      <w:marRight w:val="0"/>
      <w:marTop w:val="0"/>
      <w:marBottom w:val="0"/>
      <w:divBdr>
        <w:top w:val="none" w:sz="0" w:space="0" w:color="auto"/>
        <w:left w:val="none" w:sz="0" w:space="0" w:color="auto"/>
        <w:bottom w:val="none" w:sz="0" w:space="0" w:color="auto"/>
        <w:right w:val="none" w:sz="0" w:space="0" w:color="auto"/>
      </w:divBdr>
    </w:div>
    <w:div w:id="1712420260">
      <w:bodyDiv w:val="1"/>
      <w:marLeft w:val="0"/>
      <w:marRight w:val="0"/>
      <w:marTop w:val="0"/>
      <w:marBottom w:val="0"/>
      <w:divBdr>
        <w:top w:val="none" w:sz="0" w:space="0" w:color="auto"/>
        <w:left w:val="none" w:sz="0" w:space="0" w:color="auto"/>
        <w:bottom w:val="none" w:sz="0" w:space="0" w:color="auto"/>
        <w:right w:val="none" w:sz="0" w:space="0" w:color="auto"/>
      </w:divBdr>
    </w:div>
    <w:div w:id="1945764838">
      <w:bodyDiv w:val="1"/>
      <w:marLeft w:val="0"/>
      <w:marRight w:val="0"/>
      <w:marTop w:val="0"/>
      <w:marBottom w:val="0"/>
      <w:divBdr>
        <w:top w:val="none" w:sz="0" w:space="0" w:color="auto"/>
        <w:left w:val="none" w:sz="0" w:space="0" w:color="auto"/>
        <w:bottom w:val="none" w:sz="0" w:space="0" w:color="auto"/>
        <w:right w:val="none" w:sz="0" w:space="0" w:color="auto"/>
      </w:divBdr>
    </w:div>
    <w:div w:id="21157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1aNdCk88LtGNymI92hB8?domain=6.6.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eu.mimecast.com/s/1aNdCk88LtGNymI92hB8?domain=6.6.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hams.gov.uk/article/3882/Neighbourhood-Development-Plans-and-Orders" TargetMode="External"/><Relationship Id="rId5" Type="http://schemas.openxmlformats.org/officeDocument/2006/relationships/footnotes" Target="footnotes.xml"/><Relationship Id="rId10" Type="http://schemas.openxmlformats.org/officeDocument/2006/relationships/hyperlink" Target="https://www.gov.uk/guidance/neighbourhood-planning" TargetMode="External"/><Relationship Id="rId4" Type="http://schemas.openxmlformats.org/officeDocument/2006/relationships/webSettings" Target="webSettings.xml"/><Relationship Id="rId9" Type="http://schemas.openxmlformats.org/officeDocument/2006/relationships/hyperlink" Target="https://protect-eu.mimecast.com/s/1aNdCk88LtGNymI92hB8?domain=6.6.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1275</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Committee:</vt:lpstr>
    </vt:vector>
  </TitlesOfParts>
  <Company>Cornwall County Council</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lmparsons</dc:creator>
  <cp:lastModifiedBy>Kathryn Trant</cp:lastModifiedBy>
  <cp:revision>9</cp:revision>
  <cp:lastPrinted>2014-05-08T09:48:00Z</cp:lastPrinted>
  <dcterms:created xsi:type="dcterms:W3CDTF">2019-08-21T14:35:00Z</dcterms:created>
  <dcterms:modified xsi:type="dcterms:W3CDTF">2019-09-04T15:00:00Z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